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26" w:rsidRPr="00D04C26" w:rsidRDefault="00D04C26" w:rsidP="00D04C26">
      <w:pPr>
        <w:pStyle w:val="Subtitle"/>
        <w:pBdr>
          <w:top w:val="single" w:sz="4" w:space="8" w:color="auto"/>
          <w:bottom w:val="single" w:sz="4" w:space="8" w:color="auto"/>
        </w:pBdr>
        <w:shd w:val="clear" w:color="auto" w:fill="E0E0E0"/>
        <w:spacing w:before="40" w:after="40"/>
        <w:rPr>
          <w:szCs w:val="22"/>
        </w:rPr>
      </w:pPr>
      <w:r w:rsidRPr="00D04C26">
        <w:rPr>
          <w:szCs w:val="22"/>
        </w:rPr>
        <w:t xml:space="preserve">Collagenase Clostridium </w:t>
      </w:r>
      <w:proofErr w:type="spellStart"/>
      <w:r w:rsidRPr="00D04C26">
        <w:rPr>
          <w:szCs w:val="22"/>
        </w:rPr>
        <w:t>Histolyticum</w:t>
      </w:r>
      <w:proofErr w:type="spellEnd"/>
      <w:r w:rsidRPr="00D04C26">
        <w:rPr>
          <w:szCs w:val="22"/>
        </w:rPr>
        <w:t xml:space="preserve"> (</w:t>
      </w:r>
      <w:proofErr w:type="spellStart"/>
      <w:r w:rsidRPr="00D04C26">
        <w:rPr>
          <w:szCs w:val="22"/>
        </w:rPr>
        <w:t>Xiaflex</w:t>
      </w:r>
      <w:proofErr w:type="spellEnd"/>
      <w:r w:rsidRPr="00D04C26">
        <w:rPr>
          <w:rFonts w:cs="Arial"/>
          <w:szCs w:val="22"/>
        </w:rPr>
        <w:t>™</w:t>
      </w:r>
      <w:r w:rsidRPr="00D04C26">
        <w:rPr>
          <w:szCs w:val="22"/>
        </w:rPr>
        <w:t>) for Peyronie’s Disease</w:t>
      </w:r>
    </w:p>
    <w:p w:rsidR="00D04C26" w:rsidRDefault="00D04C26" w:rsidP="00D04C26">
      <w:pPr>
        <w:pStyle w:val="Title"/>
        <w:pBdr>
          <w:top w:val="single" w:sz="4" w:space="8" w:color="auto"/>
          <w:bottom w:val="single" w:sz="4" w:space="8" w:color="auto"/>
        </w:pBdr>
        <w:shd w:val="clear" w:color="auto" w:fill="E0E0E0"/>
        <w:spacing w:before="40" w:after="40"/>
      </w:pPr>
      <w:r>
        <w:t>National Drug Monograph Addendum</w:t>
      </w:r>
    </w:p>
    <w:p w:rsidR="00D04C26" w:rsidRDefault="00D04C26" w:rsidP="00D04C26">
      <w:pPr>
        <w:pStyle w:val="Subtitle"/>
        <w:pBdr>
          <w:top w:val="single" w:sz="4" w:space="8" w:color="auto"/>
          <w:bottom w:val="single" w:sz="4" w:space="8" w:color="auto"/>
        </w:pBdr>
        <w:shd w:val="clear" w:color="auto" w:fill="E0E0E0"/>
        <w:spacing w:before="40" w:after="40"/>
      </w:pPr>
      <w:r>
        <w:rPr>
          <w:sz w:val="18"/>
        </w:rPr>
        <w:t xml:space="preserve">VA Pharmacy Benefits Management Services, </w:t>
      </w:r>
      <w:r>
        <w:rPr>
          <w:sz w:val="18"/>
        </w:rPr>
        <w:br/>
        <w:t>Medical Advisory Panel, and VISN Pharmacist Executives</w:t>
      </w:r>
    </w:p>
    <w:p w:rsidR="00D04C26" w:rsidRDefault="00D04C26" w:rsidP="00D04C26">
      <w:pPr>
        <w:pStyle w:val="NoSpacing"/>
        <w:rPr>
          <w:rFonts w:ascii="Arial" w:hAnsi="Arial" w:cs="Arial"/>
          <w:i/>
          <w:sz w:val="16"/>
          <w:szCs w:val="16"/>
        </w:rPr>
      </w:pPr>
      <w:r>
        <w:rPr>
          <w:rFonts w:ascii="Arial" w:hAnsi="Arial" w:cs="Arial"/>
          <w:i/>
          <w:sz w:val="16"/>
          <w:szCs w:val="16"/>
        </w:rPr>
        <w:t>The purpose of VACO PBM-SHG drug monographs is to provide a comprehensive drug review for making formulary decisions.  These documents will be updated when new data warrant additional formulary discussion.  Documents will be placed in the Archive section when the information is deemed to be no longer current.</w:t>
      </w:r>
    </w:p>
    <w:p w:rsidR="00017305" w:rsidRDefault="00017305" w:rsidP="00B56BD8">
      <w:pPr>
        <w:pStyle w:val="NoSpacing"/>
      </w:pPr>
    </w:p>
    <w:p w:rsidR="00F001A5" w:rsidRPr="00CA0E10" w:rsidRDefault="00F001A5" w:rsidP="00F001A5">
      <w:pPr>
        <w:pStyle w:val="NoSpacing"/>
        <w:rPr>
          <w:b/>
          <w:u w:val="single"/>
        </w:rPr>
      </w:pPr>
      <w:r w:rsidRPr="00CA0E10">
        <w:rPr>
          <w:b/>
          <w:u w:val="single"/>
        </w:rPr>
        <w:t>Introduction</w:t>
      </w:r>
    </w:p>
    <w:p w:rsidR="00816B68" w:rsidRDefault="00F001A5" w:rsidP="00F001A5">
      <w:pPr>
        <w:pStyle w:val="NoSpacing"/>
        <w:rPr>
          <w:rFonts w:ascii="Times New Roman" w:hAnsi="Times New Roman" w:cs="Times New Roman"/>
          <w:sz w:val="20"/>
          <w:szCs w:val="20"/>
        </w:rPr>
      </w:pPr>
      <w:r w:rsidRPr="00F001A5">
        <w:rPr>
          <w:rFonts w:ascii="Times New Roman" w:hAnsi="Times New Roman" w:cs="Times New Roman"/>
          <w:sz w:val="20"/>
          <w:szCs w:val="20"/>
        </w:rPr>
        <w:t xml:space="preserve">Collagenase Clostridium </w:t>
      </w:r>
      <w:proofErr w:type="spellStart"/>
      <w:r w:rsidRPr="00F001A5">
        <w:rPr>
          <w:rFonts w:ascii="Times New Roman" w:hAnsi="Times New Roman" w:cs="Times New Roman"/>
          <w:sz w:val="20"/>
          <w:szCs w:val="20"/>
        </w:rPr>
        <w:t>Histolyticum</w:t>
      </w:r>
      <w:proofErr w:type="spellEnd"/>
      <w:r w:rsidRPr="00F001A5">
        <w:rPr>
          <w:rFonts w:ascii="Times New Roman" w:hAnsi="Times New Roman" w:cs="Times New Roman"/>
          <w:sz w:val="20"/>
          <w:szCs w:val="20"/>
        </w:rPr>
        <w:t xml:space="preserve"> </w:t>
      </w:r>
      <w:r w:rsidR="000B4EF4">
        <w:rPr>
          <w:rFonts w:ascii="Times New Roman" w:hAnsi="Times New Roman" w:cs="Times New Roman"/>
          <w:sz w:val="20"/>
          <w:szCs w:val="20"/>
        </w:rPr>
        <w:t>(CCH</w:t>
      </w:r>
      <w:r>
        <w:rPr>
          <w:rFonts w:ascii="Times New Roman" w:hAnsi="Times New Roman" w:cs="Times New Roman"/>
          <w:sz w:val="20"/>
          <w:szCs w:val="20"/>
        </w:rPr>
        <w:t>)</w:t>
      </w:r>
      <w:r w:rsidRPr="00F001A5">
        <w:rPr>
          <w:rFonts w:ascii="Times New Roman" w:hAnsi="Times New Roman" w:cs="Times New Roman"/>
          <w:sz w:val="20"/>
          <w:szCs w:val="20"/>
        </w:rPr>
        <w:t xml:space="preserve"> has been </w:t>
      </w:r>
      <w:r>
        <w:rPr>
          <w:rFonts w:ascii="Times New Roman" w:hAnsi="Times New Roman" w:cs="Times New Roman"/>
          <w:sz w:val="20"/>
          <w:szCs w:val="20"/>
        </w:rPr>
        <w:t xml:space="preserve">approved </w:t>
      </w:r>
      <w:r w:rsidRPr="00F001A5">
        <w:rPr>
          <w:rFonts w:ascii="Times New Roman" w:hAnsi="Times New Roman" w:cs="Times New Roman"/>
          <w:sz w:val="20"/>
          <w:szCs w:val="20"/>
        </w:rPr>
        <w:t>for use in Peyronie’s Disease</w:t>
      </w:r>
      <w:r w:rsidR="004A4702">
        <w:rPr>
          <w:rFonts w:ascii="Times New Roman" w:hAnsi="Times New Roman" w:cs="Times New Roman"/>
          <w:sz w:val="20"/>
          <w:szCs w:val="20"/>
        </w:rPr>
        <w:t xml:space="preserve"> (PD)</w:t>
      </w:r>
      <w:r>
        <w:rPr>
          <w:rFonts w:ascii="Times New Roman" w:hAnsi="Times New Roman" w:cs="Times New Roman"/>
          <w:sz w:val="20"/>
          <w:szCs w:val="20"/>
        </w:rPr>
        <w:t xml:space="preserve">.  </w:t>
      </w:r>
      <w:r w:rsidR="00A40F7E">
        <w:rPr>
          <w:rFonts w:ascii="Times New Roman" w:hAnsi="Times New Roman" w:cs="Times New Roman"/>
          <w:sz w:val="20"/>
          <w:szCs w:val="20"/>
        </w:rPr>
        <w:t>Peyronie’s disease is a localized connective tissue disorder of the</w:t>
      </w:r>
      <w:r w:rsidR="00816B68">
        <w:rPr>
          <w:rFonts w:ascii="Times New Roman" w:hAnsi="Times New Roman" w:cs="Times New Roman"/>
          <w:sz w:val="20"/>
          <w:szCs w:val="20"/>
        </w:rPr>
        <w:t xml:space="preserve"> tunica </w:t>
      </w:r>
      <w:proofErr w:type="spellStart"/>
      <w:r w:rsidR="00816B68">
        <w:rPr>
          <w:rFonts w:ascii="Times New Roman" w:hAnsi="Times New Roman" w:cs="Times New Roman"/>
          <w:sz w:val="20"/>
          <w:szCs w:val="20"/>
        </w:rPr>
        <w:t>albuginea</w:t>
      </w:r>
      <w:proofErr w:type="spellEnd"/>
      <w:r w:rsidR="00816B68">
        <w:rPr>
          <w:rFonts w:ascii="Times New Roman" w:hAnsi="Times New Roman" w:cs="Times New Roman"/>
          <w:sz w:val="20"/>
          <w:szCs w:val="20"/>
        </w:rPr>
        <w:t xml:space="preserve"> of the penis characterized by formation of a fibrotic lesion or plaque causing penile deformity such as penile curvature.</w:t>
      </w:r>
      <w:r w:rsidR="00A40F7E">
        <w:rPr>
          <w:rFonts w:ascii="Times New Roman" w:hAnsi="Times New Roman" w:cs="Times New Roman"/>
          <w:sz w:val="20"/>
          <w:szCs w:val="20"/>
        </w:rPr>
        <w:t xml:space="preserve">  </w:t>
      </w:r>
    </w:p>
    <w:p w:rsidR="00816B68" w:rsidRDefault="00816B68" w:rsidP="00F001A5">
      <w:pPr>
        <w:pStyle w:val="NoSpacing"/>
        <w:rPr>
          <w:rFonts w:ascii="Times New Roman" w:hAnsi="Times New Roman" w:cs="Times New Roman"/>
          <w:sz w:val="20"/>
          <w:szCs w:val="20"/>
        </w:rPr>
      </w:pPr>
    </w:p>
    <w:p w:rsidR="00B75B0C" w:rsidRDefault="00816B68" w:rsidP="00F001A5">
      <w:pPr>
        <w:pStyle w:val="NoSpacing"/>
        <w:rPr>
          <w:rFonts w:ascii="Times New Roman" w:hAnsi="Times New Roman" w:cs="Times New Roman"/>
          <w:sz w:val="20"/>
          <w:szCs w:val="20"/>
        </w:rPr>
      </w:pPr>
      <w:r>
        <w:rPr>
          <w:rFonts w:ascii="Times New Roman" w:hAnsi="Times New Roman" w:cs="Times New Roman"/>
          <w:sz w:val="20"/>
          <w:szCs w:val="20"/>
        </w:rPr>
        <w:t>There are 2 phases of the disease: a</w:t>
      </w:r>
      <w:r w:rsidR="00A40F7E">
        <w:rPr>
          <w:rFonts w:ascii="Times New Roman" w:hAnsi="Times New Roman" w:cs="Times New Roman"/>
          <w:sz w:val="20"/>
          <w:szCs w:val="20"/>
        </w:rPr>
        <w:t>n acute inflammatory phase characterized by increased proliferation of fibro</w:t>
      </w:r>
      <w:r w:rsidR="00671086">
        <w:rPr>
          <w:rFonts w:ascii="Times New Roman" w:hAnsi="Times New Roman" w:cs="Times New Roman"/>
          <w:sz w:val="20"/>
          <w:szCs w:val="20"/>
        </w:rPr>
        <w:t>b</w:t>
      </w:r>
      <w:r w:rsidR="00CF1EB1">
        <w:rPr>
          <w:rFonts w:ascii="Times New Roman" w:hAnsi="Times New Roman" w:cs="Times New Roman"/>
          <w:sz w:val="20"/>
          <w:szCs w:val="20"/>
        </w:rPr>
        <w:t>lasts in the tunica</w:t>
      </w:r>
      <w:r>
        <w:rPr>
          <w:rFonts w:ascii="Times New Roman" w:hAnsi="Times New Roman" w:cs="Times New Roman"/>
          <w:sz w:val="20"/>
          <w:szCs w:val="20"/>
        </w:rPr>
        <w:t xml:space="preserve"> </w:t>
      </w:r>
      <w:proofErr w:type="spellStart"/>
      <w:r>
        <w:rPr>
          <w:rFonts w:ascii="Times New Roman" w:hAnsi="Times New Roman" w:cs="Times New Roman"/>
          <w:sz w:val="20"/>
          <w:szCs w:val="20"/>
        </w:rPr>
        <w:t>albuginea</w:t>
      </w:r>
      <w:proofErr w:type="spellEnd"/>
      <w:r>
        <w:rPr>
          <w:rFonts w:ascii="Times New Roman" w:hAnsi="Times New Roman" w:cs="Times New Roman"/>
          <w:sz w:val="20"/>
          <w:szCs w:val="20"/>
        </w:rPr>
        <w:t xml:space="preserve"> and a fibrotic/calcifying phase with </w:t>
      </w:r>
      <w:r w:rsidR="00671086">
        <w:rPr>
          <w:rFonts w:ascii="Times New Roman" w:hAnsi="Times New Roman" w:cs="Times New Roman"/>
          <w:sz w:val="20"/>
          <w:szCs w:val="20"/>
        </w:rPr>
        <w:t>excessive</w:t>
      </w:r>
      <w:r w:rsidR="00A40F7E">
        <w:rPr>
          <w:rFonts w:ascii="Times New Roman" w:hAnsi="Times New Roman" w:cs="Times New Roman"/>
          <w:sz w:val="20"/>
          <w:szCs w:val="20"/>
        </w:rPr>
        <w:t xml:space="preserve"> de</w:t>
      </w:r>
      <w:r w:rsidR="00671086">
        <w:rPr>
          <w:rFonts w:ascii="Times New Roman" w:hAnsi="Times New Roman" w:cs="Times New Roman"/>
          <w:sz w:val="20"/>
          <w:szCs w:val="20"/>
        </w:rPr>
        <w:t xml:space="preserve">position of collagen and formation of a fibrotic </w:t>
      </w:r>
      <w:r>
        <w:rPr>
          <w:rFonts w:ascii="Times New Roman" w:hAnsi="Times New Roman" w:cs="Times New Roman"/>
          <w:sz w:val="20"/>
          <w:szCs w:val="20"/>
        </w:rPr>
        <w:t xml:space="preserve">lesion or </w:t>
      </w:r>
      <w:r w:rsidR="00671086">
        <w:rPr>
          <w:rFonts w:ascii="Times New Roman" w:hAnsi="Times New Roman" w:cs="Times New Roman"/>
          <w:sz w:val="20"/>
          <w:szCs w:val="20"/>
        </w:rPr>
        <w:t>plaque</w:t>
      </w:r>
      <w:r>
        <w:rPr>
          <w:rFonts w:ascii="Times New Roman" w:hAnsi="Times New Roman" w:cs="Times New Roman"/>
          <w:sz w:val="20"/>
          <w:szCs w:val="20"/>
        </w:rPr>
        <w:t xml:space="preserve"> (disease stabilization)</w:t>
      </w:r>
      <w:r w:rsidR="00671086">
        <w:rPr>
          <w:rFonts w:ascii="Times New Roman" w:hAnsi="Times New Roman" w:cs="Times New Roman"/>
          <w:sz w:val="20"/>
          <w:szCs w:val="20"/>
        </w:rPr>
        <w:t xml:space="preserve">.  </w:t>
      </w:r>
    </w:p>
    <w:p w:rsidR="00B75B0C" w:rsidRDefault="00B75B0C" w:rsidP="00F001A5">
      <w:pPr>
        <w:pStyle w:val="NoSpacing"/>
        <w:rPr>
          <w:rFonts w:ascii="Times New Roman" w:hAnsi="Times New Roman" w:cs="Times New Roman"/>
          <w:sz w:val="20"/>
          <w:szCs w:val="20"/>
        </w:rPr>
      </w:pPr>
    </w:p>
    <w:p w:rsidR="00F001A5" w:rsidRPr="00F001A5" w:rsidRDefault="005D072F" w:rsidP="00F001A5">
      <w:pPr>
        <w:pStyle w:val="NoSpacing"/>
        <w:rPr>
          <w:rFonts w:ascii="Times New Roman" w:hAnsi="Times New Roman" w:cs="Times New Roman"/>
        </w:rPr>
      </w:pPr>
      <w:r>
        <w:rPr>
          <w:rFonts w:ascii="Times New Roman" w:hAnsi="Times New Roman" w:cs="Times New Roman"/>
          <w:sz w:val="20"/>
          <w:szCs w:val="20"/>
        </w:rPr>
        <w:t xml:space="preserve">Men with PD are at risk for depression, lowered self-esteem, issues with body-image, </w:t>
      </w:r>
      <w:r w:rsidR="00A63B0B">
        <w:rPr>
          <w:rFonts w:ascii="Times New Roman" w:hAnsi="Times New Roman" w:cs="Times New Roman"/>
          <w:sz w:val="20"/>
          <w:szCs w:val="20"/>
        </w:rPr>
        <w:t xml:space="preserve">and relationship problems. Peyronie’s disease is managed medically or surgically.  </w:t>
      </w:r>
      <w:r>
        <w:rPr>
          <w:rFonts w:ascii="Times New Roman" w:hAnsi="Times New Roman" w:cs="Times New Roman"/>
          <w:sz w:val="20"/>
          <w:szCs w:val="20"/>
        </w:rPr>
        <w:t xml:space="preserve">Medical treatments that have been used include </w:t>
      </w:r>
      <w:proofErr w:type="spellStart"/>
      <w:r>
        <w:rPr>
          <w:rFonts w:ascii="Times New Roman" w:hAnsi="Times New Roman" w:cs="Times New Roman"/>
          <w:sz w:val="20"/>
          <w:szCs w:val="20"/>
        </w:rPr>
        <w:t>pentoxifylline</w:t>
      </w:r>
      <w:proofErr w:type="spellEnd"/>
      <w:r w:rsidR="00816B68">
        <w:rPr>
          <w:rFonts w:ascii="Times New Roman" w:hAnsi="Times New Roman" w:cs="Times New Roman"/>
          <w:sz w:val="20"/>
          <w:szCs w:val="20"/>
        </w:rPr>
        <w:t>, potassium para-</w:t>
      </w:r>
      <w:proofErr w:type="spellStart"/>
      <w:r w:rsidR="00816B68">
        <w:rPr>
          <w:rFonts w:ascii="Times New Roman" w:hAnsi="Times New Roman" w:cs="Times New Roman"/>
          <w:sz w:val="20"/>
          <w:szCs w:val="20"/>
        </w:rPr>
        <w:t>aminobenzoate</w:t>
      </w:r>
      <w:proofErr w:type="spellEnd"/>
      <w:r w:rsidR="00816B68">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intralesional</w:t>
      </w:r>
      <w:proofErr w:type="spellEnd"/>
      <w:proofErr w:type="gramEnd"/>
      <w:r>
        <w:rPr>
          <w:rFonts w:ascii="Times New Roman" w:hAnsi="Times New Roman" w:cs="Times New Roman"/>
          <w:sz w:val="20"/>
          <w:szCs w:val="20"/>
        </w:rPr>
        <w:t xml:space="preserve"> therap</w:t>
      </w:r>
      <w:r w:rsidR="00816B68">
        <w:rPr>
          <w:rFonts w:ascii="Times New Roman" w:hAnsi="Times New Roman" w:cs="Times New Roman"/>
          <w:sz w:val="20"/>
          <w:szCs w:val="20"/>
        </w:rPr>
        <w:t xml:space="preserve">y using verapamil or interferon, </w:t>
      </w:r>
      <w:r w:rsidR="00CF1EB1">
        <w:rPr>
          <w:rFonts w:ascii="Times New Roman" w:hAnsi="Times New Roman" w:cs="Times New Roman"/>
          <w:sz w:val="20"/>
          <w:szCs w:val="20"/>
        </w:rPr>
        <w:t>and topical verapamil with clinical studies showing inconsistent results.</w:t>
      </w:r>
    </w:p>
    <w:p w:rsidR="00DB1320" w:rsidRDefault="00DB1320" w:rsidP="00F001A5">
      <w:pPr>
        <w:pStyle w:val="NoSpacing"/>
        <w:rPr>
          <w:rFonts w:ascii="Times New Roman" w:hAnsi="Times New Roman" w:cs="Times New Roman"/>
          <w:sz w:val="20"/>
          <w:szCs w:val="20"/>
        </w:rPr>
      </w:pPr>
    </w:p>
    <w:p w:rsidR="00F001A5" w:rsidRDefault="00DB1320" w:rsidP="00F001A5">
      <w:pPr>
        <w:pStyle w:val="NoSpacing"/>
      </w:pPr>
      <w:r w:rsidRPr="00F001A5">
        <w:rPr>
          <w:rFonts w:ascii="Times New Roman" w:hAnsi="Times New Roman" w:cs="Times New Roman"/>
          <w:sz w:val="20"/>
          <w:szCs w:val="20"/>
        </w:rPr>
        <w:t xml:space="preserve">Collagenase Clostridium </w:t>
      </w:r>
      <w:proofErr w:type="spellStart"/>
      <w:r w:rsidRPr="00F001A5">
        <w:rPr>
          <w:rFonts w:ascii="Times New Roman" w:hAnsi="Times New Roman" w:cs="Times New Roman"/>
          <w:sz w:val="20"/>
          <w:szCs w:val="20"/>
        </w:rPr>
        <w:t>Histolyticum</w:t>
      </w:r>
      <w:proofErr w:type="spellEnd"/>
      <w:r>
        <w:rPr>
          <w:rFonts w:ascii="Times New Roman" w:hAnsi="Times New Roman" w:cs="Times New Roman"/>
          <w:sz w:val="20"/>
          <w:szCs w:val="20"/>
        </w:rPr>
        <w:t xml:space="preserve"> is FDA approved for treatment of adult men with </w:t>
      </w:r>
      <w:r w:rsidR="00651E7D">
        <w:rPr>
          <w:rFonts w:ascii="Times New Roman" w:hAnsi="Times New Roman" w:cs="Times New Roman"/>
          <w:sz w:val="20"/>
          <w:szCs w:val="20"/>
        </w:rPr>
        <w:t>PD with</w:t>
      </w:r>
      <w:r>
        <w:rPr>
          <w:rFonts w:ascii="Times New Roman" w:hAnsi="Times New Roman" w:cs="Times New Roman"/>
          <w:sz w:val="20"/>
          <w:szCs w:val="20"/>
        </w:rPr>
        <w:t xml:space="preserve"> a palpable plaque and curvature deformity of at least 30 degrees at the start of therapy</w:t>
      </w:r>
    </w:p>
    <w:p w:rsidR="00DB1320" w:rsidRDefault="00DB1320" w:rsidP="00F001A5">
      <w:pPr>
        <w:pStyle w:val="NoSpacing"/>
      </w:pPr>
    </w:p>
    <w:p w:rsidR="000B4EF4" w:rsidRDefault="00FD5290" w:rsidP="000B4EF4">
      <w:pPr>
        <w:pStyle w:val="NoSpacing"/>
        <w:rPr>
          <w:rFonts w:ascii="Times New Roman" w:hAnsi="Times New Roman" w:cs="Times New Roman"/>
          <w:sz w:val="20"/>
          <w:szCs w:val="20"/>
        </w:rPr>
      </w:pPr>
      <w:r w:rsidRPr="00F001A5">
        <w:rPr>
          <w:rFonts w:ascii="Times New Roman" w:hAnsi="Times New Roman" w:cs="Times New Roman"/>
          <w:sz w:val="20"/>
          <w:szCs w:val="20"/>
        </w:rPr>
        <w:t xml:space="preserve">Collagenase Clostridium </w:t>
      </w:r>
      <w:proofErr w:type="spellStart"/>
      <w:r w:rsidRPr="00F001A5">
        <w:rPr>
          <w:rFonts w:ascii="Times New Roman" w:hAnsi="Times New Roman" w:cs="Times New Roman"/>
          <w:sz w:val="20"/>
          <w:szCs w:val="20"/>
        </w:rPr>
        <w:t>Histolyticum</w:t>
      </w:r>
      <w:proofErr w:type="spellEnd"/>
      <w:r>
        <w:rPr>
          <w:rFonts w:ascii="Times New Roman" w:hAnsi="Times New Roman" w:cs="Times New Roman"/>
          <w:sz w:val="20"/>
          <w:szCs w:val="20"/>
        </w:rPr>
        <w:t xml:space="preserve"> is available through a managed distribution system.   It is required that the pharmacy or healthcare system enroll in the program in o</w:t>
      </w:r>
      <w:r w:rsidR="000B4EF4">
        <w:rPr>
          <w:rFonts w:ascii="Times New Roman" w:hAnsi="Times New Roman" w:cs="Times New Roman"/>
          <w:sz w:val="20"/>
          <w:szCs w:val="20"/>
        </w:rPr>
        <w:t>rder to receive shipments of CCH</w:t>
      </w:r>
      <w:r>
        <w:rPr>
          <w:rFonts w:ascii="Times New Roman" w:hAnsi="Times New Roman" w:cs="Times New Roman"/>
          <w:sz w:val="20"/>
          <w:szCs w:val="20"/>
        </w:rPr>
        <w:t>.  Prescribers must be certified by enrolling and completing train</w:t>
      </w:r>
      <w:r w:rsidR="000B4EF4">
        <w:rPr>
          <w:rFonts w:ascii="Times New Roman" w:hAnsi="Times New Roman" w:cs="Times New Roman"/>
          <w:sz w:val="20"/>
          <w:szCs w:val="20"/>
        </w:rPr>
        <w:t>ing in the administration of CCH</w:t>
      </w:r>
      <w:r>
        <w:rPr>
          <w:rFonts w:ascii="Times New Roman" w:hAnsi="Times New Roman" w:cs="Times New Roman"/>
          <w:sz w:val="20"/>
          <w:szCs w:val="20"/>
        </w:rPr>
        <w:t xml:space="preserve"> treatment for Peyronie’s disease</w:t>
      </w:r>
      <w:r w:rsidR="007A688D">
        <w:rPr>
          <w:rFonts w:ascii="Times New Roman" w:hAnsi="Times New Roman" w:cs="Times New Roman"/>
          <w:sz w:val="20"/>
          <w:szCs w:val="20"/>
        </w:rPr>
        <w:t>.</w:t>
      </w:r>
      <w:r w:rsidR="000B4EF4">
        <w:rPr>
          <w:rFonts w:ascii="Times New Roman" w:hAnsi="Times New Roman" w:cs="Times New Roman"/>
          <w:sz w:val="20"/>
          <w:szCs w:val="20"/>
        </w:rPr>
        <w:t xml:space="preserve"> For detailed information go to </w:t>
      </w:r>
      <w:hyperlink r:id="rId8" w:history="1">
        <w:r w:rsidR="000B4EF4" w:rsidRPr="00D95A68">
          <w:rPr>
            <w:rStyle w:val="Hyperlink"/>
            <w:rFonts w:ascii="Times New Roman" w:hAnsi="Times New Roman" w:cs="Times New Roman"/>
            <w:sz w:val="20"/>
            <w:szCs w:val="20"/>
          </w:rPr>
          <w:t>www.xiaflexrems.com</w:t>
        </w:r>
      </w:hyperlink>
    </w:p>
    <w:p w:rsidR="00FD5290" w:rsidRDefault="00FD5290" w:rsidP="00FD5290">
      <w:pPr>
        <w:pStyle w:val="NoSpacing"/>
        <w:rPr>
          <w:rFonts w:ascii="Times New Roman" w:hAnsi="Times New Roman" w:cs="Times New Roman"/>
          <w:sz w:val="20"/>
          <w:szCs w:val="20"/>
        </w:rPr>
      </w:pPr>
    </w:p>
    <w:p w:rsidR="00F001A5" w:rsidRPr="00CA0E10" w:rsidRDefault="00F001A5" w:rsidP="00F001A5">
      <w:pPr>
        <w:pStyle w:val="NoSpacing"/>
        <w:rPr>
          <w:b/>
          <w:u w:val="single"/>
        </w:rPr>
      </w:pPr>
      <w:r w:rsidRPr="00CA0E10">
        <w:rPr>
          <w:b/>
          <w:u w:val="single"/>
        </w:rPr>
        <w:t xml:space="preserve">Dosing </w:t>
      </w:r>
    </w:p>
    <w:p w:rsidR="00F001A5" w:rsidRDefault="00BF54D2" w:rsidP="00F001A5">
      <w:pPr>
        <w:pStyle w:val="NoSpacing"/>
        <w:rPr>
          <w:rFonts w:ascii="Times New Roman" w:hAnsi="Times New Roman" w:cs="Times New Roman"/>
          <w:sz w:val="20"/>
          <w:szCs w:val="20"/>
        </w:rPr>
      </w:pPr>
      <w:r>
        <w:rPr>
          <w:rFonts w:ascii="Times New Roman" w:hAnsi="Times New Roman" w:cs="Times New Roman"/>
          <w:sz w:val="20"/>
          <w:szCs w:val="20"/>
        </w:rPr>
        <w:t>CCH</w:t>
      </w:r>
      <w:r w:rsidR="00F001A5" w:rsidRPr="00F001A5">
        <w:rPr>
          <w:rFonts w:ascii="Times New Roman" w:hAnsi="Times New Roman" w:cs="Times New Roman"/>
          <w:sz w:val="20"/>
          <w:szCs w:val="20"/>
        </w:rPr>
        <w:t xml:space="preserve"> should be administered by </w:t>
      </w:r>
      <w:r w:rsidR="00F001A5">
        <w:rPr>
          <w:rFonts w:ascii="Times New Roman" w:hAnsi="Times New Roman" w:cs="Times New Roman"/>
          <w:sz w:val="20"/>
          <w:szCs w:val="20"/>
        </w:rPr>
        <w:t>healthcare providers experienced in the treatment of male urological diseases and who have completed the manufacturers required training for use in Peyronie’s disease.</w:t>
      </w:r>
    </w:p>
    <w:p w:rsidR="00F001A5" w:rsidRDefault="00F001A5" w:rsidP="00F001A5">
      <w:pPr>
        <w:pStyle w:val="NoSpacing"/>
        <w:rPr>
          <w:rFonts w:ascii="Times New Roman" w:hAnsi="Times New Roman" w:cs="Times New Roman"/>
          <w:sz w:val="20"/>
          <w:szCs w:val="20"/>
        </w:rPr>
      </w:pPr>
    </w:p>
    <w:p w:rsidR="00F001A5" w:rsidRDefault="00F001A5" w:rsidP="00F001A5">
      <w:pPr>
        <w:pStyle w:val="NoSpacing"/>
        <w:rPr>
          <w:rFonts w:ascii="Times New Roman" w:hAnsi="Times New Roman" w:cs="Times New Roman"/>
          <w:sz w:val="20"/>
          <w:szCs w:val="20"/>
        </w:rPr>
      </w:pPr>
      <w:r>
        <w:rPr>
          <w:rFonts w:ascii="Times New Roman" w:hAnsi="Times New Roman" w:cs="Times New Roman"/>
          <w:sz w:val="20"/>
          <w:szCs w:val="20"/>
        </w:rPr>
        <w:t>The dose per injection is 0.58mg administered into a Peyronie’s plaque.  If more than 1 plaque is present, inject into the plaque causing the curvature deformity.</w:t>
      </w:r>
    </w:p>
    <w:p w:rsidR="00F001A5" w:rsidRDefault="00F001A5" w:rsidP="00F001A5">
      <w:pPr>
        <w:pStyle w:val="NoSpacing"/>
        <w:rPr>
          <w:rFonts w:ascii="Times New Roman" w:hAnsi="Times New Roman" w:cs="Times New Roman"/>
          <w:sz w:val="20"/>
          <w:szCs w:val="20"/>
        </w:rPr>
      </w:pPr>
    </w:p>
    <w:p w:rsidR="00F001A5" w:rsidRDefault="00F001A5" w:rsidP="00F001A5">
      <w:pPr>
        <w:pStyle w:val="NoSpacing"/>
        <w:rPr>
          <w:rFonts w:ascii="Times New Roman" w:hAnsi="Times New Roman" w:cs="Times New Roman"/>
          <w:sz w:val="20"/>
          <w:szCs w:val="20"/>
        </w:rPr>
      </w:pPr>
      <w:r>
        <w:rPr>
          <w:rFonts w:ascii="Times New Roman" w:hAnsi="Times New Roman" w:cs="Times New Roman"/>
          <w:sz w:val="20"/>
          <w:szCs w:val="20"/>
        </w:rPr>
        <w:t xml:space="preserve">A treatment course consists of a maximum of 4 treatment cycles.  Each </w:t>
      </w:r>
      <w:r w:rsidR="005F2841">
        <w:rPr>
          <w:rFonts w:ascii="Times New Roman" w:hAnsi="Times New Roman" w:cs="Times New Roman"/>
          <w:sz w:val="20"/>
          <w:szCs w:val="20"/>
        </w:rPr>
        <w:t>treatment cycle consist of 2 CCH</w:t>
      </w:r>
      <w:r>
        <w:rPr>
          <w:rFonts w:ascii="Times New Roman" w:hAnsi="Times New Roman" w:cs="Times New Roman"/>
          <w:sz w:val="20"/>
          <w:szCs w:val="20"/>
        </w:rPr>
        <w:t xml:space="preserve"> injection procedures.  The second injection procedure is performed 1-3 days after the first; </w:t>
      </w:r>
      <w:r w:rsidR="003D2017">
        <w:rPr>
          <w:rFonts w:ascii="Times New Roman" w:hAnsi="Times New Roman" w:cs="Times New Roman"/>
          <w:sz w:val="20"/>
          <w:szCs w:val="20"/>
        </w:rPr>
        <w:t xml:space="preserve">1-3 days </w:t>
      </w:r>
      <w:r>
        <w:rPr>
          <w:rFonts w:ascii="Times New Roman" w:hAnsi="Times New Roman" w:cs="Times New Roman"/>
          <w:sz w:val="20"/>
          <w:szCs w:val="20"/>
        </w:rPr>
        <w:t>after the second injection procedure</w:t>
      </w:r>
      <w:r w:rsidR="003D2017">
        <w:rPr>
          <w:rFonts w:ascii="Times New Roman" w:hAnsi="Times New Roman" w:cs="Times New Roman"/>
          <w:sz w:val="20"/>
          <w:szCs w:val="20"/>
        </w:rPr>
        <w:t>, the penile modeling procedure is performed.</w:t>
      </w:r>
    </w:p>
    <w:p w:rsidR="003D2017" w:rsidRDefault="003D2017" w:rsidP="00F001A5">
      <w:pPr>
        <w:pStyle w:val="NoSpacing"/>
        <w:rPr>
          <w:rFonts w:ascii="Times New Roman" w:hAnsi="Times New Roman" w:cs="Times New Roman"/>
          <w:sz w:val="20"/>
          <w:szCs w:val="20"/>
        </w:rPr>
      </w:pPr>
    </w:p>
    <w:p w:rsidR="003D2017" w:rsidRDefault="003D2017" w:rsidP="00F001A5">
      <w:pPr>
        <w:pStyle w:val="NoSpacing"/>
        <w:rPr>
          <w:rFonts w:ascii="Times New Roman" w:hAnsi="Times New Roman" w:cs="Times New Roman"/>
          <w:sz w:val="20"/>
          <w:szCs w:val="20"/>
        </w:rPr>
      </w:pPr>
      <w:r>
        <w:rPr>
          <w:rFonts w:ascii="Times New Roman" w:hAnsi="Times New Roman" w:cs="Times New Roman"/>
          <w:sz w:val="20"/>
          <w:szCs w:val="20"/>
        </w:rPr>
        <w:t>The interval between treatment cycles is approximately 6 weeks.  The treatment course consists of a maximum of 8 injections and 4 penile modeling procedures.  The safety of more than 1 treatment course is not known.</w:t>
      </w:r>
    </w:p>
    <w:p w:rsidR="003D2017" w:rsidRDefault="003D2017" w:rsidP="00F001A5">
      <w:pPr>
        <w:pStyle w:val="NoSpacing"/>
        <w:rPr>
          <w:rFonts w:ascii="Times New Roman" w:hAnsi="Times New Roman" w:cs="Times New Roman"/>
          <w:sz w:val="20"/>
          <w:szCs w:val="20"/>
        </w:rPr>
      </w:pPr>
    </w:p>
    <w:p w:rsidR="003D2017" w:rsidRDefault="003D2017" w:rsidP="00F001A5">
      <w:pPr>
        <w:pStyle w:val="NoSpacing"/>
        <w:rPr>
          <w:rFonts w:ascii="Times New Roman" w:hAnsi="Times New Roman" w:cs="Times New Roman"/>
          <w:sz w:val="20"/>
          <w:szCs w:val="20"/>
        </w:rPr>
      </w:pPr>
      <w:r>
        <w:rPr>
          <w:rFonts w:ascii="Times New Roman" w:hAnsi="Times New Roman" w:cs="Times New Roman"/>
          <w:sz w:val="20"/>
          <w:szCs w:val="20"/>
        </w:rPr>
        <w:t>If the curvature deformity is &lt;15 degrees after the first, second, or third treatment cycle, or if the healthcare provider determines that further treatment is not clinically indicated, then subsequent treatment cycles should not be given.</w:t>
      </w:r>
    </w:p>
    <w:p w:rsidR="003D2017" w:rsidRDefault="003D2017" w:rsidP="00F001A5">
      <w:pPr>
        <w:pStyle w:val="NoSpacing"/>
        <w:rPr>
          <w:rFonts w:ascii="Times New Roman" w:hAnsi="Times New Roman" w:cs="Times New Roman"/>
          <w:sz w:val="20"/>
          <w:szCs w:val="20"/>
        </w:rPr>
      </w:pPr>
    </w:p>
    <w:p w:rsidR="003D2017" w:rsidRPr="00F001A5" w:rsidRDefault="003D2017" w:rsidP="00F001A5">
      <w:pPr>
        <w:pStyle w:val="NoSpacing"/>
        <w:rPr>
          <w:rFonts w:ascii="Times New Roman" w:hAnsi="Times New Roman" w:cs="Times New Roman"/>
          <w:sz w:val="20"/>
          <w:szCs w:val="20"/>
        </w:rPr>
      </w:pPr>
      <w:r>
        <w:rPr>
          <w:rFonts w:ascii="Times New Roman" w:hAnsi="Times New Roman" w:cs="Times New Roman"/>
          <w:sz w:val="20"/>
          <w:szCs w:val="20"/>
        </w:rPr>
        <w:t>Please refer to the product package insert for detailed instructions on identification of the treatment area, injection procedure, dose preparation</w:t>
      </w:r>
      <w:r w:rsidR="00D36787">
        <w:rPr>
          <w:rFonts w:ascii="Times New Roman" w:hAnsi="Times New Roman" w:cs="Times New Roman"/>
          <w:sz w:val="20"/>
          <w:szCs w:val="20"/>
        </w:rPr>
        <w:t>,</w:t>
      </w:r>
      <w:r>
        <w:rPr>
          <w:rFonts w:ascii="Times New Roman" w:hAnsi="Times New Roman" w:cs="Times New Roman"/>
          <w:sz w:val="20"/>
          <w:szCs w:val="20"/>
        </w:rPr>
        <w:t xml:space="preserve"> and penile modeling procedure.</w:t>
      </w:r>
    </w:p>
    <w:p w:rsidR="00051F6B" w:rsidRPr="00051F6B" w:rsidRDefault="00051F6B" w:rsidP="00051F6B">
      <w:pPr>
        <w:pStyle w:val="NoSpacing"/>
        <w:rPr>
          <w:rFonts w:ascii="Times New Roman" w:hAnsi="Times New Roman" w:cs="Times New Roman"/>
          <w:sz w:val="20"/>
          <w:szCs w:val="20"/>
        </w:rPr>
      </w:pPr>
      <w:r w:rsidRPr="00051F6B">
        <w:rPr>
          <w:rFonts w:ascii="Times New Roman" w:hAnsi="Times New Roman" w:cs="Times New Roman"/>
          <w:sz w:val="20"/>
          <w:szCs w:val="20"/>
        </w:rPr>
        <w:t>Safety of more tha</w:t>
      </w:r>
      <w:r>
        <w:rPr>
          <w:rFonts w:ascii="Times New Roman" w:hAnsi="Times New Roman" w:cs="Times New Roman"/>
          <w:sz w:val="20"/>
          <w:szCs w:val="20"/>
        </w:rPr>
        <w:t>n 1 treatment course is unknown.</w:t>
      </w:r>
    </w:p>
    <w:p w:rsidR="00051F6B" w:rsidRDefault="00051F6B" w:rsidP="00F001A5">
      <w:pPr>
        <w:pStyle w:val="NoSpacing"/>
      </w:pPr>
    </w:p>
    <w:p w:rsidR="008A67F1" w:rsidRDefault="008A67F1" w:rsidP="00C11EAE">
      <w:pPr>
        <w:pStyle w:val="NoSpacing"/>
        <w:rPr>
          <w:b/>
          <w:u w:val="single"/>
        </w:rPr>
      </w:pPr>
    </w:p>
    <w:p w:rsidR="00C11EAE" w:rsidRPr="005D616C" w:rsidRDefault="00C11EAE" w:rsidP="00C11EAE">
      <w:pPr>
        <w:pStyle w:val="NoSpacing"/>
        <w:rPr>
          <w:rFonts w:ascii="Times New Roman" w:hAnsi="Times New Roman" w:cs="Times New Roman"/>
          <w:b/>
          <w:sz w:val="20"/>
          <w:szCs w:val="20"/>
          <w:u w:val="single"/>
        </w:rPr>
      </w:pPr>
      <w:r w:rsidRPr="005D616C">
        <w:rPr>
          <w:b/>
          <w:u w:val="single"/>
        </w:rPr>
        <w:lastRenderedPageBreak/>
        <w:t xml:space="preserve">Efficacy </w:t>
      </w:r>
    </w:p>
    <w:p w:rsidR="004D36C9" w:rsidRDefault="004D36C9" w:rsidP="00C11EAE">
      <w:pPr>
        <w:pStyle w:val="NoSpacing"/>
        <w:rPr>
          <w:rFonts w:ascii="Times New Roman" w:hAnsi="Times New Roman" w:cs="Times New Roman"/>
          <w:sz w:val="20"/>
          <w:szCs w:val="20"/>
        </w:rPr>
      </w:pPr>
      <w:r>
        <w:rPr>
          <w:rFonts w:ascii="Times New Roman" w:hAnsi="Times New Roman" w:cs="Times New Roman"/>
          <w:sz w:val="20"/>
          <w:szCs w:val="20"/>
        </w:rPr>
        <w:t>There are 4 Phase 2 studies and 3 Phase 3 studies</w:t>
      </w:r>
      <w:r w:rsidR="00D7079E">
        <w:rPr>
          <w:rFonts w:ascii="Times New Roman" w:hAnsi="Times New Roman" w:cs="Times New Roman"/>
          <w:sz w:val="20"/>
          <w:szCs w:val="20"/>
        </w:rPr>
        <w:t xml:space="preserve"> (</w:t>
      </w:r>
      <w:r w:rsidR="00AA65AC">
        <w:rPr>
          <w:rFonts w:ascii="Times New Roman" w:hAnsi="Times New Roman" w:cs="Times New Roman"/>
          <w:b/>
          <w:sz w:val="20"/>
          <w:szCs w:val="20"/>
          <w:u w:val="single"/>
        </w:rPr>
        <w:t>Table 1</w:t>
      </w:r>
      <w:r w:rsidR="00D7079E">
        <w:rPr>
          <w:rFonts w:ascii="Times New Roman" w:hAnsi="Times New Roman" w:cs="Times New Roman"/>
          <w:sz w:val="20"/>
          <w:szCs w:val="20"/>
        </w:rPr>
        <w:t>)</w:t>
      </w:r>
      <w:r>
        <w:rPr>
          <w:rFonts w:ascii="Times New Roman" w:hAnsi="Times New Roman" w:cs="Times New Roman"/>
          <w:sz w:val="20"/>
          <w:szCs w:val="20"/>
        </w:rPr>
        <w:t>.</w:t>
      </w:r>
      <w:r w:rsidR="00B9175A">
        <w:rPr>
          <w:rFonts w:ascii="Times New Roman" w:hAnsi="Times New Roman" w:cs="Times New Roman"/>
          <w:sz w:val="20"/>
          <w:szCs w:val="20"/>
        </w:rPr>
        <w:t xml:space="preserve">  The phase 2 study 801 and the phase 3 studies 803 and 804 </w:t>
      </w:r>
      <w:r w:rsidR="002C75C1">
        <w:rPr>
          <w:rFonts w:ascii="Times New Roman" w:hAnsi="Times New Roman" w:cs="Times New Roman"/>
          <w:sz w:val="20"/>
          <w:szCs w:val="20"/>
        </w:rPr>
        <w:t xml:space="preserve">(IMPRESS I and IMPRESS II) </w:t>
      </w:r>
      <w:r w:rsidR="00B9175A">
        <w:rPr>
          <w:rFonts w:ascii="Times New Roman" w:hAnsi="Times New Roman" w:cs="Times New Roman"/>
          <w:sz w:val="20"/>
          <w:szCs w:val="20"/>
        </w:rPr>
        <w:t>are published.</w:t>
      </w:r>
      <w:r w:rsidR="00A75959">
        <w:rPr>
          <w:rFonts w:ascii="Times New Roman" w:hAnsi="Times New Roman" w:cs="Times New Roman"/>
          <w:sz w:val="20"/>
          <w:szCs w:val="20"/>
        </w:rPr>
        <w:t xml:space="preserve">  </w:t>
      </w:r>
      <w:r w:rsidR="002C75C1">
        <w:rPr>
          <w:rFonts w:ascii="Times New Roman" w:hAnsi="Times New Roman" w:cs="Times New Roman"/>
          <w:sz w:val="20"/>
          <w:szCs w:val="20"/>
        </w:rPr>
        <w:t xml:space="preserve">IMPRESS I and IMPRESS </w:t>
      </w:r>
      <w:r w:rsidR="00D7079E">
        <w:rPr>
          <w:rFonts w:ascii="Times New Roman" w:hAnsi="Times New Roman" w:cs="Times New Roman"/>
          <w:sz w:val="20"/>
          <w:szCs w:val="20"/>
        </w:rPr>
        <w:t>II are</w:t>
      </w:r>
      <w:r w:rsidR="002C75C1">
        <w:rPr>
          <w:rFonts w:ascii="Times New Roman" w:hAnsi="Times New Roman" w:cs="Times New Roman"/>
          <w:sz w:val="20"/>
          <w:szCs w:val="20"/>
        </w:rPr>
        <w:t xml:space="preserve"> identically designed trials and will be the focus of this review</w:t>
      </w:r>
      <w:r w:rsidR="005D616C">
        <w:rPr>
          <w:rFonts w:ascii="Times New Roman" w:hAnsi="Times New Roman" w:cs="Times New Roman"/>
          <w:sz w:val="20"/>
          <w:szCs w:val="20"/>
        </w:rPr>
        <w:t>.</w:t>
      </w:r>
    </w:p>
    <w:p w:rsidR="009C3AE6" w:rsidRDefault="009C3AE6" w:rsidP="00C11EAE">
      <w:pPr>
        <w:pStyle w:val="NoSpacing"/>
        <w:rPr>
          <w:rFonts w:ascii="Times New Roman" w:hAnsi="Times New Roman" w:cs="Times New Roman"/>
          <w:sz w:val="20"/>
          <w:szCs w:val="20"/>
        </w:rPr>
      </w:pPr>
    </w:p>
    <w:p w:rsidR="009C3AE6" w:rsidRPr="00064238" w:rsidRDefault="009C3AE6" w:rsidP="00C11EAE">
      <w:pPr>
        <w:pStyle w:val="NoSpacing"/>
        <w:rPr>
          <w:rFonts w:cs="Times New Roman"/>
          <w:b/>
          <w:sz w:val="20"/>
          <w:szCs w:val="20"/>
        </w:rPr>
      </w:pPr>
      <w:r w:rsidRPr="00064238">
        <w:rPr>
          <w:rFonts w:cs="Times New Roman"/>
          <w:b/>
          <w:sz w:val="20"/>
          <w:szCs w:val="20"/>
        </w:rPr>
        <w:t xml:space="preserve">Table 1: </w:t>
      </w:r>
      <w:r w:rsidR="00946CBE">
        <w:rPr>
          <w:rFonts w:cs="Times New Roman"/>
          <w:b/>
          <w:sz w:val="20"/>
          <w:szCs w:val="20"/>
        </w:rPr>
        <w:t>Clinical Trials</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9175A" w:rsidRPr="004D36C9" w:rsidTr="00B9175A">
        <w:tc>
          <w:tcPr>
            <w:tcW w:w="1197" w:type="dxa"/>
            <w:vMerge w:val="restart"/>
            <w:tcBorders>
              <w:left w:val="nil"/>
              <w:right w:val="nil"/>
            </w:tcBorders>
            <w:shd w:val="clear" w:color="auto" w:fill="D9D9D9" w:themeFill="background1" w:themeFillShade="D9"/>
          </w:tcPr>
          <w:p w:rsidR="00B9175A" w:rsidRPr="00B9175A" w:rsidRDefault="00B9175A" w:rsidP="00C11EAE">
            <w:pPr>
              <w:pStyle w:val="NoSpacing"/>
              <w:rPr>
                <w:rFonts w:cs="Times New Roman"/>
                <w:b/>
                <w:sz w:val="16"/>
                <w:szCs w:val="16"/>
              </w:rPr>
            </w:pPr>
          </w:p>
        </w:tc>
        <w:tc>
          <w:tcPr>
            <w:tcW w:w="4788" w:type="dxa"/>
            <w:gridSpan w:val="4"/>
            <w:tcBorders>
              <w:left w:val="nil"/>
              <w:right w:val="nil"/>
            </w:tcBorders>
            <w:shd w:val="clear" w:color="auto" w:fill="D9D9D9" w:themeFill="background1" w:themeFillShade="D9"/>
          </w:tcPr>
          <w:p w:rsidR="00B9175A" w:rsidRPr="00B9175A" w:rsidRDefault="00B9175A" w:rsidP="00B9175A">
            <w:pPr>
              <w:pStyle w:val="NoSpacing"/>
              <w:jc w:val="center"/>
              <w:rPr>
                <w:rFonts w:cs="Times New Roman"/>
                <w:b/>
                <w:sz w:val="16"/>
                <w:szCs w:val="16"/>
              </w:rPr>
            </w:pPr>
            <w:r w:rsidRPr="00B9175A">
              <w:rPr>
                <w:rFonts w:cs="Times New Roman"/>
                <w:b/>
                <w:sz w:val="16"/>
                <w:szCs w:val="16"/>
              </w:rPr>
              <w:t>Phase 2</w:t>
            </w:r>
          </w:p>
        </w:tc>
        <w:tc>
          <w:tcPr>
            <w:tcW w:w="3591" w:type="dxa"/>
            <w:gridSpan w:val="3"/>
            <w:tcBorders>
              <w:left w:val="nil"/>
              <w:right w:val="nil"/>
            </w:tcBorders>
            <w:shd w:val="clear" w:color="auto" w:fill="D9D9D9" w:themeFill="background1" w:themeFillShade="D9"/>
          </w:tcPr>
          <w:p w:rsidR="00B9175A" w:rsidRPr="00B9175A" w:rsidRDefault="00B9175A" w:rsidP="00B9175A">
            <w:pPr>
              <w:pStyle w:val="NoSpacing"/>
              <w:jc w:val="center"/>
              <w:rPr>
                <w:rFonts w:cs="Times New Roman"/>
                <w:b/>
                <w:sz w:val="16"/>
                <w:szCs w:val="16"/>
              </w:rPr>
            </w:pPr>
            <w:r w:rsidRPr="00B9175A">
              <w:rPr>
                <w:rFonts w:cs="Times New Roman"/>
                <w:b/>
                <w:sz w:val="16"/>
                <w:szCs w:val="16"/>
              </w:rPr>
              <w:t>Phase 3</w:t>
            </w:r>
          </w:p>
        </w:tc>
      </w:tr>
      <w:tr w:rsidR="00B9175A" w:rsidRPr="004D36C9" w:rsidTr="002C75C1">
        <w:tc>
          <w:tcPr>
            <w:tcW w:w="1197" w:type="dxa"/>
            <w:vMerge/>
            <w:tcBorders>
              <w:left w:val="nil"/>
              <w:right w:val="nil"/>
            </w:tcBorders>
            <w:shd w:val="clear" w:color="auto" w:fill="D9D9D9" w:themeFill="background1" w:themeFillShade="D9"/>
          </w:tcPr>
          <w:p w:rsidR="00B9175A" w:rsidRPr="00B9175A" w:rsidRDefault="00B9175A" w:rsidP="00C11EAE">
            <w:pPr>
              <w:pStyle w:val="NoSpacing"/>
              <w:rPr>
                <w:rFonts w:cs="Times New Roman"/>
                <w:b/>
                <w:sz w:val="16"/>
                <w:szCs w:val="16"/>
              </w:rPr>
            </w:pPr>
          </w:p>
        </w:tc>
        <w:tc>
          <w:tcPr>
            <w:tcW w:w="1197" w:type="dxa"/>
            <w:tcBorders>
              <w:left w:val="nil"/>
              <w:right w:val="nil"/>
            </w:tcBorders>
            <w:shd w:val="clear" w:color="auto" w:fill="D9D9D9" w:themeFill="background1" w:themeFillShade="D9"/>
            <w:vAlign w:val="center"/>
          </w:tcPr>
          <w:p w:rsidR="00B9175A" w:rsidRPr="00B9175A" w:rsidRDefault="00B9175A" w:rsidP="002C75C1">
            <w:pPr>
              <w:pStyle w:val="NoSpacing"/>
              <w:jc w:val="center"/>
              <w:rPr>
                <w:rFonts w:cs="Times New Roman"/>
                <w:b/>
                <w:sz w:val="16"/>
                <w:szCs w:val="16"/>
              </w:rPr>
            </w:pPr>
            <w:r w:rsidRPr="00B9175A">
              <w:rPr>
                <w:rFonts w:cs="Times New Roman"/>
                <w:b/>
                <w:sz w:val="16"/>
                <w:szCs w:val="16"/>
              </w:rPr>
              <w:t>1030-PEY</w:t>
            </w:r>
          </w:p>
        </w:tc>
        <w:tc>
          <w:tcPr>
            <w:tcW w:w="1197" w:type="dxa"/>
            <w:tcBorders>
              <w:left w:val="nil"/>
              <w:right w:val="nil"/>
            </w:tcBorders>
            <w:shd w:val="clear" w:color="auto" w:fill="D9D9D9" w:themeFill="background1" w:themeFillShade="D9"/>
            <w:vAlign w:val="center"/>
          </w:tcPr>
          <w:p w:rsidR="00B9175A" w:rsidRPr="00B9175A" w:rsidRDefault="00B9175A" w:rsidP="002C75C1">
            <w:pPr>
              <w:pStyle w:val="NoSpacing"/>
              <w:jc w:val="center"/>
              <w:rPr>
                <w:rFonts w:cs="Times New Roman"/>
                <w:b/>
                <w:sz w:val="16"/>
                <w:szCs w:val="16"/>
              </w:rPr>
            </w:pPr>
            <w:r w:rsidRPr="00B9175A">
              <w:rPr>
                <w:rFonts w:cs="Times New Roman"/>
                <w:b/>
                <w:sz w:val="16"/>
                <w:szCs w:val="16"/>
              </w:rPr>
              <w:t>1035-PEY</w:t>
            </w:r>
          </w:p>
        </w:tc>
        <w:tc>
          <w:tcPr>
            <w:tcW w:w="1197" w:type="dxa"/>
            <w:tcBorders>
              <w:left w:val="nil"/>
              <w:right w:val="nil"/>
            </w:tcBorders>
            <w:shd w:val="clear" w:color="auto" w:fill="D9D9D9" w:themeFill="background1" w:themeFillShade="D9"/>
            <w:vAlign w:val="center"/>
          </w:tcPr>
          <w:p w:rsidR="00B9175A" w:rsidRPr="00B9175A" w:rsidRDefault="00B9175A" w:rsidP="002C75C1">
            <w:pPr>
              <w:pStyle w:val="NoSpacing"/>
              <w:jc w:val="center"/>
              <w:rPr>
                <w:rFonts w:cs="Times New Roman"/>
                <w:b/>
                <w:sz w:val="16"/>
                <w:szCs w:val="16"/>
              </w:rPr>
            </w:pPr>
            <w:r w:rsidRPr="00B9175A">
              <w:rPr>
                <w:rFonts w:cs="Times New Roman"/>
                <w:b/>
                <w:sz w:val="16"/>
                <w:szCs w:val="16"/>
              </w:rPr>
              <w:t>Study 801</w:t>
            </w:r>
          </w:p>
        </w:tc>
        <w:tc>
          <w:tcPr>
            <w:tcW w:w="1197" w:type="dxa"/>
            <w:tcBorders>
              <w:left w:val="nil"/>
              <w:right w:val="nil"/>
            </w:tcBorders>
            <w:shd w:val="clear" w:color="auto" w:fill="D9D9D9" w:themeFill="background1" w:themeFillShade="D9"/>
            <w:vAlign w:val="center"/>
          </w:tcPr>
          <w:p w:rsidR="00B9175A" w:rsidRPr="00B9175A" w:rsidRDefault="00B9175A" w:rsidP="002C75C1">
            <w:pPr>
              <w:pStyle w:val="NoSpacing"/>
              <w:jc w:val="center"/>
              <w:rPr>
                <w:rFonts w:cs="Times New Roman"/>
                <w:b/>
                <w:sz w:val="16"/>
                <w:szCs w:val="16"/>
              </w:rPr>
            </w:pPr>
            <w:r w:rsidRPr="00B9175A">
              <w:rPr>
                <w:rFonts w:cs="Times New Roman"/>
                <w:b/>
                <w:sz w:val="16"/>
                <w:szCs w:val="16"/>
              </w:rPr>
              <w:t>Study 805</w:t>
            </w:r>
          </w:p>
        </w:tc>
        <w:tc>
          <w:tcPr>
            <w:tcW w:w="1197" w:type="dxa"/>
            <w:tcBorders>
              <w:left w:val="nil"/>
              <w:right w:val="nil"/>
            </w:tcBorders>
            <w:shd w:val="clear" w:color="auto" w:fill="D9D9D9" w:themeFill="background1" w:themeFillShade="D9"/>
            <w:vAlign w:val="center"/>
          </w:tcPr>
          <w:p w:rsidR="00B9175A" w:rsidRPr="00B9175A" w:rsidRDefault="00B9175A" w:rsidP="002C75C1">
            <w:pPr>
              <w:pStyle w:val="NoSpacing"/>
              <w:jc w:val="center"/>
              <w:rPr>
                <w:rFonts w:cs="Times New Roman"/>
                <w:b/>
                <w:sz w:val="16"/>
                <w:szCs w:val="16"/>
              </w:rPr>
            </w:pPr>
            <w:r w:rsidRPr="00B9175A">
              <w:rPr>
                <w:rFonts w:cs="Times New Roman"/>
                <w:b/>
                <w:sz w:val="16"/>
                <w:szCs w:val="16"/>
              </w:rPr>
              <w:t>Study 802</w:t>
            </w:r>
          </w:p>
        </w:tc>
        <w:tc>
          <w:tcPr>
            <w:tcW w:w="1197" w:type="dxa"/>
            <w:tcBorders>
              <w:left w:val="nil"/>
              <w:right w:val="nil"/>
            </w:tcBorders>
            <w:shd w:val="clear" w:color="auto" w:fill="D9D9D9" w:themeFill="background1" w:themeFillShade="D9"/>
          </w:tcPr>
          <w:p w:rsidR="00B9175A" w:rsidRDefault="00B9175A" w:rsidP="00B9175A">
            <w:pPr>
              <w:pStyle w:val="NoSpacing"/>
              <w:jc w:val="center"/>
              <w:rPr>
                <w:rFonts w:cs="Times New Roman"/>
                <w:b/>
                <w:sz w:val="16"/>
                <w:szCs w:val="16"/>
              </w:rPr>
            </w:pPr>
            <w:r w:rsidRPr="00B9175A">
              <w:rPr>
                <w:rFonts w:cs="Times New Roman"/>
                <w:b/>
                <w:sz w:val="16"/>
                <w:szCs w:val="16"/>
              </w:rPr>
              <w:t>Study 803</w:t>
            </w:r>
          </w:p>
          <w:p w:rsidR="002C75C1" w:rsidRPr="00B9175A" w:rsidRDefault="002C75C1" w:rsidP="00B9175A">
            <w:pPr>
              <w:pStyle w:val="NoSpacing"/>
              <w:jc w:val="center"/>
              <w:rPr>
                <w:rFonts w:cs="Times New Roman"/>
                <w:b/>
                <w:sz w:val="16"/>
                <w:szCs w:val="16"/>
              </w:rPr>
            </w:pPr>
            <w:r>
              <w:rPr>
                <w:rFonts w:cs="Times New Roman"/>
                <w:b/>
                <w:sz w:val="16"/>
                <w:szCs w:val="16"/>
              </w:rPr>
              <w:t>IMPRESS I</w:t>
            </w:r>
          </w:p>
        </w:tc>
        <w:tc>
          <w:tcPr>
            <w:tcW w:w="1197" w:type="dxa"/>
            <w:tcBorders>
              <w:left w:val="nil"/>
              <w:right w:val="nil"/>
            </w:tcBorders>
            <w:shd w:val="clear" w:color="auto" w:fill="D9D9D9" w:themeFill="background1" w:themeFillShade="D9"/>
          </w:tcPr>
          <w:p w:rsidR="00B9175A" w:rsidRDefault="00B9175A" w:rsidP="00B9175A">
            <w:pPr>
              <w:pStyle w:val="NoSpacing"/>
              <w:jc w:val="center"/>
              <w:rPr>
                <w:rFonts w:cs="Times New Roman"/>
                <w:b/>
                <w:sz w:val="16"/>
                <w:szCs w:val="16"/>
              </w:rPr>
            </w:pPr>
            <w:r w:rsidRPr="00B9175A">
              <w:rPr>
                <w:rFonts w:cs="Times New Roman"/>
                <w:b/>
                <w:sz w:val="16"/>
                <w:szCs w:val="16"/>
              </w:rPr>
              <w:t>Study 804</w:t>
            </w:r>
          </w:p>
          <w:p w:rsidR="002C75C1" w:rsidRPr="00B9175A" w:rsidRDefault="002C75C1" w:rsidP="00B9175A">
            <w:pPr>
              <w:pStyle w:val="NoSpacing"/>
              <w:jc w:val="center"/>
              <w:rPr>
                <w:rFonts w:cs="Times New Roman"/>
                <w:b/>
                <w:sz w:val="16"/>
                <w:szCs w:val="16"/>
              </w:rPr>
            </w:pPr>
            <w:r>
              <w:rPr>
                <w:rFonts w:cs="Times New Roman"/>
                <w:b/>
                <w:sz w:val="16"/>
                <w:szCs w:val="16"/>
              </w:rPr>
              <w:t>IMPRESS II</w:t>
            </w:r>
          </w:p>
        </w:tc>
      </w:tr>
      <w:tr w:rsidR="004D36C9" w:rsidRPr="004D36C9" w:rsidTr="00B9175A">
        <w:tc>
          <w:tcPr>
            <w:tcW w:w="1197" w:type="dxa"/>
            <w:tcBorders>
              <w:left w:val="nil"/>
              <w:right w:val="nil"/>
            </w:tcBorders>
            <w:vAlign w:val="center"/>
          </w:tcPr>
          <w:p w:rsidR="004D36C9" w:rsidRPr="004D36C9" w:rsidRDefault="004D36C9" w:rsidP="00B9175A">
            <w:pPr>
              <w:pStyle w:val="NoSpacing"/>
              <w:rPr>
                <w:rFonts w:cs="Times New Roman"/>
                <w:sz w:val="16"/>
                <w:szCs w:val="16"/>
              </w:rPr>
            </w:pPr>
            <w:r>
              <w:rPr>
                <w:rFonts w:cs="Times New Roman"/>
                <w:sz w:val="16"/>
                <w:szCs w:val="16"/>
              </w:rPr>
              <w:t>Design</w:t>
            </w:r>
          </w:p>
        </w:tc>
        <w:tc>
          <w:tcPr>
            <w:tcW w:w="1197" w:type="dxa"/>
            <w:tcBorders>
              <w:left w:val="nil"/>
              <w:right w:val="nil"/>
            </w:tcBorders>
            <w:vAlign w:val="center"/>
          </w:tcPr>
          <w:p w:rsidR="004D36C9" w:rsidRPr="004D36C9" w:rsidRDefault="004D36C9" w:rsidP="00B9175A">
            <w:pPr>
              <w:pStyle w:val="NoSpacing"/>
              <w:jc w:val="center"/>
              <w:rPr>
                <w:rFonts w:cs="Times New Roman"/>
                <w:sz w:val="16"/>
                <w:szCs w:val="16"/>
              </w:rPr>
            </w:pPr>
            <w:r>
              <w:rPr>
                <w:rFonts w:cs="Times New Roman"/>
                <w:sz w:val="16"/>
                <w:szCs w:val="16"/>
              </w:rPr>
              <w:t>Open-label</w:t>
            </w:r>
          </w:p>
        </w:tc>
        <w:tc>
          <w:tcPr>
            <w:tcW w:w="1197" w:type="dxa"/>
            <w:tcBorders>
              <w:left w:val="nil"/>
              <w:right w:val="nil"/>
            </w:tcBorders>
            <w:vAlign w:val="center"/>
          </w:tcPr>
          <w:p w:rsidR="004D36C9" w:rsidRPr="004D36C9" w:rsidRDefault="004D36C9" w:rsidP="00B9175A">
            <w:pPr>
              <w:pStyle w:val="NoSpacing"/>
              <w:jc w:val="center"/>
              <w:rPr>
                <w:rFonts w:cs="Times New Roman"/>
                <w:sz w:val="16"/>
                <w:szCs w:val="16"/>
              </w:rPr>
            </w:pPr>
            <w:r>
              <w:rPr>
                <w:rFonts w:cs="Times New Roman"/>
                <w:sz w:val="16"/>
                <w:szCs w:val="16"/>
              </w:rPr>
              <w:t>Open-label</w:t>
            </w:r>
          </w:p>
        </w:tc>
        <w:tc>
          <w:tcPr>
            <w:tcW w:w="1197" w:type="dxa"/>
            <w:tcBorders>
              <w:left w:val="nil"/>
              <w:right w:val="nil"/>
            </w:tcBorders>
            <w:vAlign w:val="center"/>
          </w:tcPr>
          <w:p w:rsidR="004D36C9" w:rsidRPr="004D36C9" w:rsidRDefault="004D36C9" w:rsidP="00B9175A">
            <w:pPr>
              <w:pStyle w:val="NoSpacing"/>
              <w:jc w:val="center"/>
              <w:rPr>
                <w:rFonts w:cs="Times New Roman"/>
                <w:sz w:val="16"/>
                <w:szCs w:val="16"/>
              </w:rPr>
            </w:pPr>
            <w:r>
              <w:rPr>
                <w:rFonts w:cs="Times New Roman"/>
                <w:sz w:val="16"/>
                <w:szCs w:val="16"/>
              </w:rPr>
              <w:t>R, DB,PC</w:t>
            </w:r>
          </w:p>
        </w:tc>
        <w:tc>
          <w:tcPr>
            <w:tcW w:w="1197" w:type="dxa"/>
            <w:tcBorders>
              <w:left w:val="nil"/>
              <w:right w:val="nil"/>
            </w:tcBorders>
          </w:tcPr>
          <w:p w:rsidR="004D36C9" w:rsidRDefault="004D36C9" w:rsidP="00B9175A">
            <w:pPr>
              <w:pStyle w:val="NoSpacing"/>
              <w:jc w:val="center"/>
              <w:rPr>
                <w:rFonts w:cs="Times New Roman"/>
                <w:sz w:val="16"/>
                <w:szCs w:val="16"/>
              </w:rPr>
            </w:pPr>
            <w:r>
              <w:rPr>
                <w:rFonts w:cs="Times New Roman"/>
                <w:sz w:val="16"/>
                <w:szCs w:val="16"/>
              </w:rPr>
              <w:t>Open-label</w:t>
            </w:r>
          </w:p>
          <w:p w:rsidR="004D36C9" w:rsidRPr="004D36C9" w:rsidRDefault="004D36C9" w:rsidP="00B9175A">
            <w:pPr>
              <w:pStyle w:val="NoSpacing"/>
              <w:jc w:val="center"/>
              <w:rPr>
                <w:rFonts w:cs="Times New Roman"/>
                <w:sz w:val="16"/>
                <w:szCs w:val="16"/>
              </w:rPr>
            </w:pPr>
            <w:r>
              <w:rPr>
                <w:rFonts w:cs="Times New Roman"/>
                <w:sz w:val="16"/>
                <w:szCs w:val="16"/>
              </w:rPr>
              <w:t>(p-kinetic)</w:t>
            </w:r>
          </w:p>
        </w:tc>
        <w:tc>
          <w:tcPr>
            <w:tcW w:w="1197" w:type="dxa"/>
            <w:tcBorders>
              <w:left w:val="nil"/>
              <w:right w:val="nil"/>
            </w:tcBorders>
            <w:vAlign w:val="center"/>
          </w:tcPr>
          <w:p w:rsidR="004D36C9" w:rsidRPr="004D36C9" w:rsidRDefault="004D36C9" w:rsidP="00B9175A">
            <w:pPr>
              <w:pStyle w:val="NoSpacing"/>
              <w:jc w:val="center"/>
              <w:rPr>
                <w:rFonts w:cs="Times New Roman"/>
                <w:sz w:val="16"/>
                <w:szCs w:val="16"/>
              </w:rPr>
            </w:pPr>
            <w:r>
              <w:rPr>
                <w:rFonts w:cs="Times New Roman"/>
                <w:sz w:val="16"/>
                <w:szCs w:val="16"/>
              </w:rPr>
              <w:t>Open label</w:t>
            </w:r>
          </w:p>
        </w:tc>
        <w:tc>
          <w:tcPr>
            <w:tcW w:w="1197" w:type="dxa"/>
            <w:tcBorders>
              <w:left w:val="nil"/>
              <w:right w:val="nil"/>
            </w:tcBorders>
            <w:vAlign w:val="center"/>
          </w:tcPr>
          <w:p w:rsidR="004D36C9" w:rsidRPr="004D36C9" w:rsidRDefault="004D36C9" w:rsidP="00B9175A">
            <w:pPr>
              <w:pStyle w:val="NoSpacing"/>
              <w:jc w:val="center"/>
              <w:rPr>
                <w:rFonts w:cs="Times New Roman"/>
                <w:sz w:val="16"/>
                <w:szCs w:val="16"/>
              </w:rPr>
            </w:pPr>
            <w:r>
              <w:rPr>
                <w:rFonts w:cs="Times New Roman"/>
                <w:sz w:val="16"/>
                <w:szCs w:val="16"/>
              </w:rPr>
              <w:t>R, DB, PC</w:t>
            </w:r>
          </w:p>
        </w:tc>
        <w:tc>
          <w:tcPr>
            <w:tcW w:w="1197" w:type="dxa"/>
            <w:tcBorders>
              <w:left w:val="nil"/>
              <w:right w:val="nil"/>
            </w:tcBorders>
            <w:vAlign w:val="center"/>
          </w:tcPr>
          <w:p w:rsidR="004D36C9" w:rsidRPr="004D36C9" w:rsidRDefault="004D36C9" w:rsidP="00B9175A">
            <w:pPr>
              <w:pStyle w:val="NoSpacing"/>
              <w:jc w:val="center"/>
              <w:rPr>
                <w:rFonts w:cs="Times New Roman"/>
                <w:sz w:val="16"/>
                <w:szCs w:val="16"/>
              </w:rPr>
            </w:pPr>
            <w:r>
              <w:rPr>
                <w:rFonts w:cs="Times New Roman"/>
                <w:sz w:val="16"/>
                <w:szCs w:val="16"/>
              </w:rPr>
              <w:t>R, DB, PC</w:t>
            </w:r>
          </w:p>
        </w:tc>
      </w:tr>
      <w:tr w:rsidR="004D36C9" w:rsidRPr="004D36C9" w:rsidTr="00B9175A">
        <w:tc>
          <w:tcPr>
            <w:tcW w:w="1197" w:type="dxa"/>
            <w:tcBorders>
              <w:left w:val="nil"/>
              <w:right w:val="nil"/>
            </w:tcBorders>
            <w:vAlign w:val="center"/>
          </w:tcPr>
          <w:p w:rsidR="004D36C9" w:rsidRPr="004D36C9" w:rsidRDefault="004D36C9" w:rsidP="00B9175A">
            <w:pPr>
              <w:pStyle w:val="NoSpacing"/>
              <w:rPr>
                <w:rFonts w:cs="Times New Roman"/>
                <w:sz w:val="16"/>
                <w:szCs w:val="16"/>
              </w:rPr>
            </w:pPr>
            <w:r>
              <w:rPr>
                <w:rFonts w:cs="Times New Roman"/>
                <w:sz w:val="16"/>
                <w:szCs w:val="16"/>
              </w:rPr>
              <w:t>n</w:t>
            </w:r>
          </w:p>
        </w:tc>
        <w:tc>
          <w:tcPr>
            <w:tcW w:w="1197" w:type="dxa"/>
            <w:tcBorders>
              <w:left w:val="nil"/>
              <w:right w:val="nil"/>
            </w:tcBorders>
            <w:vAlign w:val="center"/>
          </w:tcPr>
          <w:p w:rsidR="004D36C9" w:rsidRPr="004D36C9" w:rsidRDefault="005F2841" w:rsidP="00B9175A">
            <w:pPr>
              <w:pStyle w:val="NoSpacing"/>
              <w:jc w:val="center"/>
              <w:rPr>
                <w:rFonts w:cs="Times New Roman"/>
                <w:sz w:val="16"/>
                <w:szCs w:val="16"/>
              </w:rPr>
            </w:pPr>
            <w:r>
              <w:rPr>
                <w:rFonts w:cs="Times New Roman"/>
                <w:sz w:val="16"/>
                <w:szCs w:val="16"/>
              </w:rPr>
              <w:t>25 (CCH</w:t>
            </w:r>
            <w:r w:rsidR="004D36C9">
              <w:rPr>
                <w:rFonts w:cs="Times New Roman"/>
                <w:sz w:val="16"/>
                <w:szCs w:val="16"/>
              </w:rPr>
              <w:t>)</w:t>
            </w:r>
          </w:p>
        </w:tc>
        <w:tc>
          <w:tcPr>
            <w:tcW w:w="1197" w:type="dxa"/>
            <w:tcBorders>
              <w:left w:val="nil"/>
              <w:right w:val="nil"/>
            </w:tcBorders>
            <w:vAlign w:val="center"/>
          </w:tcPr>
          <w:p w:rsidR="004D36C9" w:rsidRPr="004D36C9" w:rsidRDefault="005F2841" w:rsidP="00B9175A">
            <w:pPr>
              <w:pStyle w:val="NoSpacing"/>
              <w:jc w:val="center"/>
              <w:rPr>
                <w:rFonts w:cs="Times New Roman"/>
                <w:sz w:val="16"/>
                <w:szCs w:val="16"/>
              </w:rPr>
            </w:pPr>
            <w:r>
              <w:rPr>
                <w:rFonts w:cs="Times New Roman"/>
                <w:sz w:val="16"/>
                <w:szCs w:val="16"/>
              </w:rPr>
              <w:t>10 (CCH</w:t>
            </w:r>
            <w:r w:rsidR="004D36C9">
              <w:rPr>
                <w:rFonts w:cs="Times New Roman"/>
                <w:sz w:val="16"/>
                <w:szCs w:val="16"/>
              </w:rPr>
              <w:t>)</w:t>
            </w:r>
          </w:p>
        </w:tc>
        <w:tc>
          <w:tcPr>
            <w:tcW w:w="1197" w:type="dxa"/>
            <w:tcBorders>
              <w:left w:val="nil"/>
              <w:right w:val="nil"/>
            </w:tcBorders>
          </w:tcPr>
          <w:p w:rsidR="004D36C9" w:rsidRDefault="00B9175A" w:rsidP="00B9175A">
            <w:pPr>
              <w:pStyle w:val="NoSpacing"/>
              <w:jc w:val="center"/>
              <w:rPr>
                <w:rFonts w:cs="Times New Roman"/>
                <w:sz w:val="16"/>
                <w:szCs w:val="16"/>
              </w:rPr>
            </w:pPr>
            <w:r>
              <w:rPr>
                <w:rFonts w:cs="Times New Roman"/>
                <w:sz w:val="16"/>
                <w:szCs w:val="16"/>
              </w:rPr>
              <w:t>111 (CC</w:t>
            </w:r>
            <w:r w:rsidR="005F2841">
              <w:rPr>
                <w:rFonts w:cs="Times New Roman"/>
                <w:sz w:val="16"/>
                <w:szCs w:val="16"/>
              </w:rPr>
              <w:t>H</w:t>
            </w:r>
            <w:r>
              <w:rPr>
                <w:rFonts w:cs="Times New Roman"/>
                <w:sz w:val="16"/>
                <w:szCs w:val="16"/>
              </w:rPr>
              <w:t>)</w:t>
            </w:r>
          </w:p>
          <w:p w:rsidR="00B9175A" w:rsidRPr="004D36C9" w:rsidRDefault="00B9175A" w:rsidP="00B9175A">
            <w:pPr>
              <w:pStyle w:val="NoSpacing"/>
              <w:jc w:val="center"/>
              <w:rPr>
                <w:rFonts w:cs="Times New Roman"/>
                <w:sz w:val="16"/>
                <w:szCs w:val="16"/>
              </w:rPr>
            </w:pPr>
            <w:r>
              <w:rPr>
                <w:rFonts w:cs="Times New Roman"/>
                <w:sz w:val="16"/>
                <w:szCs w:val="16"/>
              </w:rPr>
              <w:t>36 (PBO)</w:t>
            </w:r>
          </w:p>
        </w:tc>
        <w:tc>
          <w:tcPr>
            <w:tcW w:w="1197" w:type="dxa"/>
            <w:tcBorders>
              <w:left w:val="nil"/>
              <w:right w:val="nil"/>
            </w:tcBorders>
            <w:vAlign w:val="center"/>
          </w:tcPr>
          <w:p w:rsidR="004D36C9" w:rsidRPr="004D36C9" w:rsidRDefault="005F2841" w:rsidP="00B9175A">
            <w:pPr>
              <w:pStyle w:val="NoSpacing"/>
              <w:jc w:val="center"/>
              <w:rPr>
                <w:rFonts w:cs="Times New Roman"/>
                <w:sz w:val="16"/>
                <w:szCs w:val="16"/>
              </w:rPr>
            </w:pPr>
            <w:r>
              <w:rPr>
                <w:rFonts w:cs="Times New Roman"/>
                <w:sz w:val="16"/>
                <w:szCs w:val="16"/>
              </w:rPr>
              <w:t>20 (CCH</w:t>
            </w:r>
            <w:r w:rsidR="004D36C9">
              <w:rPr>
                <w:rFonts w:cs="Times New Roman"/>
                <w:sz w:val="16"/>
                <w:szCs w:val="16"/>
              </w:rPr>
              <w:t>)</w:t>
            </w:r>
          </w:p>
        </w:tc>
        <w:tc>
          <w:tcPr>
            <w:tcW w:w="1197" w:type="dxa"/>
            <w:tcBorders>
              <w:left w:val="nil"/>
              <w:right w:val="nil"/>
            </w:tcBorders>
            <w:vAlign w:val="center"/>
          </w:tcPr>
          <w:p w:rsidR="004D36C9" w:rsidRPr="004D36C9" w:rsidRDefault="004D36C9" w:rsidP="00B9175A">
            <w:pPr>
              <w:pStyle w:val="NoSpacing"/>
              <w:jc w:val="center"/>
              <w:rPr>
                <w:rFonts w:cs="Times New Roman"/>
                <w:sz w:val="16"/>
                <w:szCs w:val="16"/>
              </w:rPr>
            </w:pPr>
            <w:r>
              <w:rPr>
                <w:rFonts w:cs="Times New Roman"/>
                <w:sz w:val="16"/>
                <w:szCs w:val="16"/>
              </w:rPr>
              <w:t>237</w:t>
            </w:r>
            <w:r w:rsidR="005F2841">
              <w:rPr>
                <w:rFonts w:cs="Times New Roman"/>
                <w:sz w:val="16"/>
                <w:szCs w:val="16"/>
              </w:rPr>
              <w:t xml:space="preserve"> (CCH</w:t>
            </w:r>
            <w:r w:rsidR="00B9175A">
              <w:rPr>
                <w:rFonts w:cs="Times New Roman"/>
                <w:sz w:val="16"/>
                <w:szCs w:val="16"/>
              </w:rPr>
              <w:t>)</w:t>
            </w:r>
          </w:p>
        </w:tc>
        <w:tc>
          <w:tcPr>
            <w:tcW w:w="1197" w:type="dxa"/>
            <w:tcBorders>
              <w:left w:val="nil"/>
              <w:right w:val="nil"/>
            </w:tcBorders>
          </w:tcPr>
          <w:p w:rsidR="004D36C9" w:rsidRDefault="005F2841" w:rsidP="00B9175A">
            <w:pPr>
              <w:pStyle w:val="NoSpacing"/>
              <w:jc w:val="center"/>
              <w:rPr>
                <w:rFonts w:cs="Times New Roman"/>
                <w:sz w:val="16"/>
                <w:szCs w:val="16"/>
              </w:rPr>
            </w:pPr>
            <w:r>
              <w:rPr>
                <w:rFonts w:cs="Times New Roman"/>
                <w:sz w:val="16"/>
                <w:szCs w:val="16"/>
              </w:rPr>
              <w:t>277 (CCH</w:t>
            </w:r>
            <w:r w:rsidR="00B9175A">
              <w:rPr>
                <w:rFonts w:cs="Times New Roman"/>
                <w:sz w:val="16"/>
                <w:szCs w:val="16"/>
              </w:rPr>
              <w:t>)</w:t>
            </w:r>
          </w:p>
          <w:p w:rsidR="00B9175A" w:rsidRPr="004D36C9" w:rsidRDefault="00B9175A" w:rsidP="00B9175A">
            <w:pPr>
              <w:pStyle w:val="NoSpacing"/>
              <w:jc w:val="center"/>
              <w:rPr>
                <w:rFonts w:cs="Times New Roman"/>
                <w:sz w:val="16"/>
                <w:szCs w:val="16"/>
              </w:rPr>
            </w:pPr>
            <w:r>
              <w:rPr>
                <w:rFonts w:cs="Times New Roman"/>
                <w:sz w:val="16"/>
                <w:szCs w:val="16"/>
              </w:rPr>
              <w:t>140 (PBO)</w:t>
            </w:r>
          </w:p>
        </w:tc>
        <w:tc>
          <w:tcPr>
            <w:tcW w:w="1197" w:type="dxa"/>
            <w:tcBorders>
              <w:left w:val="nil"/>
              <w:right w:val="nil"/>
            </w:tcBorders>
          </w:tcPr>
          <w:p w:rsidR="004D36C9" w:rsidRDefault="005F2841" w:rsidP="00B9175A">
            <w:pPr>
              <w:pStyle w:val="NoSpacing"/>
              <w:jc w:val="center"/>
              <w:rPr>
                <w:rFonts w:cs="Times New Roman"/>
                <w:sz w:val="16"/>
                <w:szCs w:val="16"/>
              </w:rPr>
            </w:pPr>
            <w:r>
              <w:rPr>
                <w:rFonts w:cs="Times New Roman"/>
                <w:sz w:val="16"/>
                <w:szCs w:val="16"/>
              </w:rPr>
              <w:t>274 (CCH</w:t>
            </w:r>
            <w:r w:rsidR="00B9175A">
              <w:rPr>
                <w:rFonts w:cs="Times New Roman"/>
                <w:sz w:val="16"/>
                <w:szCs w:val="16"/>
              </w:rPr>
              <w:t>)</w:t>
            </w:r>
          </w:p>
          <w:p w:rsidR="00B9175A" w:rsidRPr="004D36C9" w:rsidRDefault="00B9175A" w:rsidP="00B9175A">
            <w:pPr>
              <w:pStyle w:val="NoSpacing"/>
              <w:jc w:val="center"/>
              <w:rPr>
                <w:rFonts w:cs="Times New Roman"/>
                <w:sz w:val="16"/>
                <w:szCs w:val="16"/>
              </w:rPr>
            </w:pPr>
            <w:r>
              <w:rPr>
                <w:rFonts w:cs="Times New Roman"/>
                <w:sz w:val="16"/>
                <w:szCs w:val="16"/>
              </w:rPr>
              <w:t>141 (PBO)</w:t>
            </w:r>
          </w:p>
        </w:tc>
      </w:tr>
    </w:tbl>
    <w:p w:rsidR="004D36C9" w:rsidRDefault="005F2841" w:rsidP="00C11EAE">
      <w:pPr>
        <w:pStyle w:val="NoSpacing"/>
        <w:rPr>
          <w:rFonts w:cs="Times New Roman"/>
          <w:sz w:val="16"/>
          <w:szCs w:val="16"/>
        </w:rPr>
      </w:pPr>
      <w:r>
        <w:rPr>
          <w:rFonts w:cs="Times New Roman"/>
          <w:sz w:val="16"/>
          <w:szCs w:val="16"/>
        </w:rPr>
        <w:t xml:space="preserve">Abbreviations:  DB=double-blind; CCH=collagenase clostridium </w:t>
      </w:r>
      <w:proofErr w:type="spellStart"/>
      <w:r>
        <w:rPr>
          <w:rFonts w:cs="Times New Roman"/>
          <w:sz w:val="16"/>
          <w:szCs w:val="16"/>
        </w:rPr>
        <w:t>histolyticum</w:t>
      </w:r>
      <w:proofErr w:type="spellEnd"/>
      <w:r>
        <w:rPr>
          <w:rFonts w:cs="Times New Roman"/>
          <w:sz w:val="16"/>
          <w:szCs w:val="16"/>
        </w:rPr>
        <w:t>; PBO=placebo; PC=placebo-controlled; R=randomized</w:t>
      </w:r>
    </w:p>
    <w:p w:rsidR="005F2841" w:rsidRDefault="005F2841" w:rsidP="00C11EAE">
      <w:pPr>
        <w:pStyle w:val="NoSpacing"/>
        <w:rPr>
          <w:rFonts w:cs="Times New Roman"/>
          <w:sz w:val="16"/>
          <w:szCs w:val="16"/>
        </w:rPr>
      </w:pPr>
    </w:p>
    <w:p w:rsidR="002008A4" w:rsidRDefault="004A4702" w:rsidP="00D7079E">
      <w:pPr>
        <w:pStyle w:val="NoSpacing"/>
        <w:rPr>
          <w:rFonts w:ascii="Times New Roman" w:hAnsi="Times New Roman" w:cs="Times New Roman"/>
          <w:sz w:val="20"/>
          <w:szCs w:val="20"/>
        </w:rPr>
      </w:pPr>
      <w:r>
        <w:rPr>
          <w:rFonts w:ascii="Times New Roman" w:hAnsi="Times New Roman" w:cs="Times New Roman"/>
          <w:sz w:val="20"/>
          <w:szCs w:val="20"/>
        </w:rPr>
        <w:t>To be eligible for the study, the following inclusion criteria had to be met: h</w:t>
      </w:r>
      <w:r w:rsidR="002C75C1" w:rsidRPr="00D7079E">
        <w:rPr>
          <w:rFonts w:ascii="Times New Roman" w:hAnsi="Times New Roman" w:cs="Times New Roman"/>
          <w:sz w:val="20"/>
          <w:szCs w:val="20"/>
        </w:rPr>
        <w:t xml:space="preserve">ealthy </w:t>
      </w:r>
      <w:proofErr w:type="gramStart"/>
      <w:r w:rsidR="002C75C1" w:rsidRPr="00D7079E">
        <w:rPr>
          <w:rFonts w:ascii="Times New Roman" w:hAnsi="Times New Roman" w:cs="Times New Roman"/>
          <w:sz w:val="20"/>
          <w:szCs w:val="20"/>
        </w:rPr>
        <w:t>males</w:t>
      </w:r>
      <w:proofErr w:type="gramEnd"/>
      <w:r w:rsidR="002C75C1" w:rsidRPr="00D7079E">
        <w:rPr>
          <w:rFonts w:ascii="Times New Roman" w:hAnsi="Times New Roman" w:cs="Times New Roman"/>
          <w:sz w:val="20"/>
          <w:szCs w:val="20"/>
        </w:rPr>
        <w:t xml:space="preserve"> ≥ 18 years old</w:t>
      </w:r>
      <w:r w:rsidR="00D7079E" w:rsidRPr="00D7079E">
        <w:rPr>
          <w:rFonts w:ascii="Times New Roman" w:hAnsi="Times New Roman" w:cs="Times New Roman"/>
          <w:sz w:val="20"/>
          <w:szCs w:val="20"/>
        </w:rPr>
        <w:t>; d</w:t>
      </w:r>
      <w:r w:rsidR="002C75C1" w:rsidRPr="00D7079E">
        <w:rPr>
          <w:rFonts w:ascii="Times New Roman" w:hAnsi="Times New Roman" w:cs="Times New Roman"/>
          <w:sz w:val="20"/>
          <w:szCs w:val="20"/>
        </w:rPr>
        <w:t>iagnosis of PD for ≥ 12 months with evidence of stable disease</w:t>
      </w:r>
      <w:r w:rsidRPr="00D7079E">
        <w:rPr>
          <w:rFonts w:ascii="Times New Roman" w:hAnsi="Times New Roman" w:cs="Times New Roman"/>
          <w:sz w:val="20"/>
          <w:szCs w:val="20"/>
        </w:rPr>
        <w:t>; penile</w:t>
      </w:r>
      <w:r w:rsidR="00780CF0">
        <w:rPr>
          <w:rFonts w:ascii="Times New Roman" w:hAnsi="Times New Roman" w:cs="Times New Roman"/>
          <w:sz w:val="20"/>
          <w:szCs w:val="20"/>
        </w:rPr>
        <w:t xml:space="preserve"> curvature of ≥30 degrees</w:t>
      </w:r>
      <w:r w:rsidR="002C75C1" w:rsidRPr="00D7079E">
        <w:rPr>
          <w:rFonts w:ascii="Times New Roman" w:hAnsi="Times New Roman" w:cs="Times New Roman"/>
          <w:sz w:val="20"/>
          <w:szCs w:val="20"/>
        </w:rPr>
        <w:t xml:space="preserve"> in dorsal, lateral, or dorsal/lateral plane</w:t>
      </w:r>
      <w:r w:rsidR="00D7079E" w:rsidRPr="00D7079E">
        <w:rPr>
          <w:rFonts w:ascii="Times New Roman" w:hAnsi="Times New Roman" w:cs="Times New Roman"/>
          <w:sz w:val="20"/>
          <w:szCs w:val="20"/>
        </w:rPr>
        <w:t>; i</w:t>
      </w:r>
      <w:r w:rsidR="002C75C1" w:rsidRPr="00D7079E">
        <w:rPr>
          <w:rFonts w:ascii="Times New Roman" w:hAnsi="Times New Roman" w:cs="Times New Roman"/>
          <w:sz w:val="20"/>
          <w:szCs w:val="20"/>
        </w:rPr>
        <w:t xml:space="preserve">n stable relationship with female partner/spouse and willing to have vaginal intercourse with that </w:t>
      </w:r>
      <w:r>
        <w:rPr>
          <w:rFonts w:ascii="Times New Roman" w:hAnsi="Times New Roman" w:cs="Times New Roman"/>
          <w:sz w:val="20"/>
          <w:szCs w:val="20"/>
        </w:rPr>
        <w:t>p</w:t>
      </w:r>
      <w:r w:rsidR="002C75C1" w:rsidRPr="00D7079E">
        <w:rPr>
          <w:rFonts w:ascii="Times New Roman" w:hAnsi="Times New Roman" w:cs="Times New Roman"/>
          <w:sz w:val="20"/>
          <w:szCs w:val="20"/>
        </w:rPr>
        <w:t>artner/spouse</w:t>
      </w:r>
      <w:r>
        <w:rPr>
          <w:rFonts w:ascii="Times New Roman" w:hAnsi="Times New Roman" w:cs="Times New Roman"/>
          <w:sz w:val="20"/>
          <w:szCs w:val="20"/>
        </w:rPr>
        <w:t xml:space="preserve">.  </w:t>
      </w:r>
      <w:r w:rsidR="00D7079E" w:rsidRPr="00D7079E">
        <w:rPr>
          <w:rFonts w:ascii="Times New Roman" w:hAnsi="Times New Roman" w:cs="Times New Roman"/>
          <w:sz w:val="20"/>
          <w:szCs w:val="20"/>
        </w:rPr>
        <w:t xml:space="preserve"> </w:t>
      </w:r>
      <w:r w:rsidR="00D7079E">
        <w:rPr>
          <w:rFonts w:ascii="Times New Roman" w:hAnsi="Times New Roman" w:cs="Times New Roman"/>
          <w:sz w:val="20"/>
          <w:szCs w:val="20"/>
        </w:rPr>
        <w:t>Patients were</w:t>
      </w:r>
      <w:r w:rsidR="00D7079E" w:rsidRPr="00D7079E">
        <w:rPr>
          <w:rFonts w:ascii="Times New Roman" w:hAnsi="Times New Roman" w:cs="Times New Roman"/>
          <w:sz w:val="20"/>
          <w:szCs w:val="20"/>
        </w:rPr>
        <w:t xml:space="preserve"> stratified according to degree of curvature (30-60 and 61-90)</w:t>
      </w:r>
      <w:r>
        <w:rPr>
          <w:rFonts w:ascii="Times New Roman" w:hAnsi="Times New Roman" w:cs="Times New Roman"/>
          <w:sz w:val="20"/>
          <w:szCs w:val="20"/>
        </w:rPr>
        <w:t xml:space="preserve"> and </w:t>
      </w:r>
      <w:r w:rsidRPr="00D7079E">
        <w:rPr>
          <w:rFonts w:ascii="Times New Roman" w:hAnsi="Times New Roman" w:cs="Times New Roman"/>
          <w:sz w:val="20"/>
          <w:szCs w:val="20"/>
        </w:rPr>
        <w:t>were</w:t>
      </w:r>
      <w:r w:rsidR="005F2841">
        <w:rPr>
          <w:rFonts w:ascii="Times New Roman" w:hAnsi="Times New Roman" w:cs="Times New Roman"/>
          <w:sz w:val="20"/>
          <w:szCs w:val="20"/>
        </w:rPr>
        <w:t xml:space="preserve"> randomized 2:1 to CCH</w:t>
      </w:r>
      <w:r>
        <w:rPr>
          <w:rFonts w:ascii="Times New Roman" w:hAnsi="Times New Roman" w:cs="Times New Roman"/>
          <w:sz w:val="20"/>
          <w:szCs w:val="20"/>
        </w:rPr>
        <w:t>: placebo</w:t>
      </w:r>
      <w:r w:rsidR="00D7079E">
        <w:rPr>
          <w:rFonts w:ascii="Times New Roman" w:hAnsi="Times New Roman" w:cs="Times New Roman"/>
          <w:sz w:val="20"/>
          <w:szCs w:val="20"/>
        </w:rPr>
        <w:t xml:space="preserve">.  </w:t>
      </w:r>
    </w:p>
    <w:p w:rsidR="004A4702" w:rsidRDefault="004A4702" w:rsidP="00D7079E">
      <w:pPr>
        <w:pStyle w:val="NoSpacing"/>
        <w:rPr>
          <w:rFonts w:ascii="Times New Roman" w:hAnsi="Times New Roman" w:cs="Times New Roman"/>
          <w:sz w:val="20"/>
          <w:szCs w:val="20"/>
        </w:rPr>
      </w:pPr>
    </w:p>
    <w:p w:rsidR="00D7079E" w:rsidRPr="002008A4" w:rsidRDefault="00D7079E" w:rsidP="00D7079E">
      <w:pPr>
        <w:pStyle w:val="NoSpacing"/>
        <w:rPr>
          <w:rFonts w:ascii="Times New Roman" w:hAnsi="Times New Roman" w:cs="Times New Roman"/>
          <w:sz w:val="20"/>
          <w:szCs w:val="20"/>
        </w:rPr>
      </w:pPr>
      <w:r>
        <w:rPr>
          <w:rFonts w:ascii="Times New Roman" w:hAnsi="Times New Roman" w:cs="Times New Roman"/>
          <w:sz w:val="20"/>
          <w:szCs w:val="20"/>
        </w:rPr>
        <w:t>Key exclusion criteria include curvature &lt;30</w:t>
      </w:r>
      <w:r w:rsidR="00780CF0">
        <w:rPr>
          <w:rFonts w:ascii="Times New Roman" w:hAnsi="Times New Roman" w:cs="Times New Roman"/>
          <w:sz w:val="20"/>
          <w:szCs w:val="20"/>
        </w:rPr>
        <w:t xml:space="preserve"> or &gt;90 degrees</w:t>
      </w:r>
      <w:r>
        <w:rPr>
          <w:rFonts w:ascii="Times New Roman" w:hAnsi="Times New Roman" w:cs="Times New Roman"/>
          <w:sz w:val="20"/>
          <w:szCs w:val="20"/>
        </w:rPr>
        <w:t>, ventral curvature</w:t>
      </w:r>
      <w:r w:rsidRPr="002008A4">
        <w:rPr>
          <w:rFonts w:ascii="Times New Roman" w:hAnsi="Times New Roman" w:cs="Times New Roman"/>
          <w:sz w:val="20"/>
          <w:szCs w:val="20"/>
        </w:rPr>
        <w:t>, calcified plaque that would prevent proper injection, received anticoagulant medication (excluding dail</w:t>
      </w:r>
      <w:r w:rsidR="00CC2F46">
        <w:rPr>
          <w:rFonts w:ascii="Times New Roman" w:hAnsi="Times New Roman" w:cs="Times New Roman"/>
          <w:sz w:val="20"/>
          <w:szCs w:val="20"/>
        </w:rPr>
        <w:t>y ASA ≤165mg or OTC NSAID ≤ 800</w:t>
      </w:r>
      <w:r w:rsidRPr="002008A4">
        <w:rPr>
          <w:rFonts w:ascii="Times New Roman" w:hAnsi="Times New Roman" w:cs="Times New Roman"/>
          <w:sz w:val="20"/>
          <w:szCs w:val="20"/>
        </w:rPr>
        <w:t>mg) 7 days before each dose of study drug</w:t>
      </w:r>
      <w:r w:rsidR="002008A4" w:rsidRPr="002008A4">
        <w:rPr>
          <w:rFonts w:ascii="Times New Roman" w:hAnsi="Times New Roman" w:cs="Times New Roman"/>
          <w:sz w:val="20"/>
          <w:szCs w:val="20"/>
        </w:rPr>
        <w:t>, surgery, oral/topical /</w:t>
      </w:r>
      <w:proofErr w:type="spellStart"/>
      <w:r w:rsidR="002008A4" w:rsidRPr="002008A4">
        <w:rPr>
          <w:rFonts w:ascii="Times New Roman" w:hAnsi="Times New Roman" w:cs="Times New Roman"/>
          <w:sz w:val="20"/>
          <w:szCs w:val="20"/>
        </w:rPr>
        <w:t>intralesional</w:t>
      </w:r>
      <w:proofErr w:type="spellEnd"/>
      <w:r w:rsidR="002008A4" w:rsidRPr="002008A4">
        <w:rPr>
          <w:rFonts w:ascii="Times New Roman" w:hAnsi="Times New Roman" w:cs="Times New Roman"/>
          <w:sz w:val="20"/>
          <w:szCs w:val="20"/>
        </w:rPr>
        <w:t xml:space="preserve"> agents within 3 months, extracorporeal shock wave therapy within 6 months, use of me</w:t>
      </w:r>
      <w:r w:rsidR="002008A4">
        <w:rPr>
          <w:rFonts w:ascii="Times New Roman" w:hAnsi="Times New Roman" w:cs="Times New Roman"/>
          <w:sz w:val="20"/>
          <w:szCs w:val="20"/>
        </w:rPr>
        <w:t xml:space="preserve">chanical devices within 2 weeks (see </w:t>
      </w:r>
      <w:r w:rsidR="00E719A8" w:rsidRPr="00E719A8">
        <w:rPr>
          <w:rFonts w:ascii="Times New Roman" w:hAnsi="Times New Roman" w:cs="Times New Roman"/>
          <w:b/>
          <w:sz w:val="20"/>
          <w:szCs w:val="20"/>
          <w:u w:val="single"/>
        </w:rPr>
        <w:t>A</w:t>
      </w:r>
      <w:r w:rsidR="002008A4" w:rsidRPr="00E719A8">
        <w:rPr>
          <w:rFonts w:ascii="Times New Roman" w:hAnsi="Times New Roman" w:cs="Times New Roman"/>
          <w:b/>
          <w:sz w:val="20"/>
          <w:szCs w:val="20"/>
          <w:u w:val="single"/>
        </w:rPr>
        <w:t>ppendix</w:t>
      </w:r>
      <w:r w:rsidR="002008A4">
        <w:rPr>
          <w:rFonts w:ascii="Times New Roman" w:hAnsi="Times New Roman" w:cs="Times New Roman"/>
          <w:sz w:val="20"/>
          <w:szCs w:val="20"/>
        </w:rPr>
        <w:t xml:space="preserve"> for complete list of exclusion criteria).  </w:t>
      </w:r>
    </w:p>
    <w:p w:rsidR="002C75C1" w:rsidRPr="002008A4" w:rsidRDefault="002C75C1" w:rsidP="002C75C1">
      <w:pPr>
        <w:pStyle w:val="NoSpacing"/>
        <w:rPr>
          <w:rFonts w:ascii="Times New Roman" w:hAnsi="Times New Roman" w:cs="Times New Roman"/>
          <w:sz w:val="20"/>
          <w:szCs w:val="20"/>
        </w:rPr>
      </w:pPr>
    </w:p>
    <w:p w:rsidR="002008A4" w:rsidRPr="002008A4" w:rsidRDefault="002008A4" w:rsidP="002008A4">
      <w:pPr>
        <w:pStyle w:val="NoSpacing"/>
        <w:rPr>
          <w:rFonts w:ascii="Times New Roman" w:hAnsi="Times New Roman" w:cs="Times New Roman"/>
          <w:sz w:val="20"/>
          <w:szCs w:val="20"/>
        </w:rPr>
      </w:pPr>
      <w:r w:rsidRPr="002008A4">
        <w:rPr>
          <w:rFonts w:ascii="Times New Roman" w:hAnsi="Times New Roman" w:cs="Times New Roman"/>
          <w:sz w:val="20"/>
          <w:szCs w:val="20"/>
        </w:rPr>
        <w:t>Patients received CC</w:t>
      </w:r>
      <w:r w:rsidR="005F2841">
        <w:rPr>
          <w:rFonts w:ascii="Times New Roman" w:hAnsi="Times New Roman" w:cs="Times New Roman"/>
          <w:sz w:val="20"/>
          <w:szCs w:val="20"/>
        </w:rPr>
        <w:t>H</w:t>
      </w:r>
      <w:r w:rsidRPr="002008A4">
        <w:rPr>
          <w:rFonts w:ascii="Times New Roman" w:hAnsi="Times New Roman" w:cs="Times New Roman"/>
          <w:sz w:val="20"/>
          <w:szCs w:val="20"/>
        </w:rPr>
        <w:t xml:space="preserve"> 0.58mg or an identical placebo for up to 4 treatment cycles.  Each treatment cycle included 2 injections with an interval of 24-72 hours between injections. </w:t>
      </w:r>
    </w:p>
    <w:p w:rsidR="002008A4" w:rsidRPr="002008A4" w:rsidRDefault="002008A4" w:rsidP="002008A4">
      <w:pPr>
        <w:pStyle w:val="NoSpacing"/>
        <w:rPr>
          <w:rFonts w:ascii="Times New Roman" w:hAnsi="Times New Roman" w:cs="Times New Roman"/>
          <w:sz w:val="20"/>
          <w:szCs w:val="20"/>
        </w:rPr>
      </w:pPr>
    </w:p>
    <w:p w:rsidR="002008A4" w:rsidRPr="002008A4" w:rsidRDefault="002008A4" w:rsidP="002008A4">
      <w:pPr>
        <w:pStyle w:val="NoSpacing"/>
        <w:rPr>
          <w:rFonts w:ascii="Times New Roman" w:hAnsi="Times New Roman" w:cs="Times New Roman"/>
          <w:sz w:val="20"/>
          <w:szCs w:val="20"/>
        </w:rPr>
      </w:pPr>
      <w:r w:rsidRPr="002008A4">
        <w:rPr>
          <w:rFonts w:ascii="Times New Roman" w:hAnsi="Times New Roman" w:cs="Times New Roman"/>
          <w:sz w:val="20"/>
          <w:szCs w:val="20"/>
        </w:rPr>
        <w:t>Approximately 24-72 hours after the 2</w:t>
      </w:r>
      <w:r w:rsidRPr="002008A4">
        <w:rPr>
          <w:rFonts w:ascii="Times New Roman" w:hAnsi="Times New Roman" w:cs="Times New Roman"/>
          <w:sz w:val="20"/>
          <w:szCs w:val="20"/>
          <w:vertAlign w:val="superscript"/>
        </w:rPr>
        <w:t>nd</w:t>
      </w:r>
      <w:r w:rsidRPr="002008A4">
        <w:rPr>
          <w:rFonts w:ascii="Times New Roman" w:hAnsi="Times New Roman" w:cs="Times New Roman"/>
          <w:sz w:val="20"/>
          <w:szCs w:val="20"/>
        </w:rPr>
        <w:t xml:space="preserve"> injection, patients underwent penile plaque modeling (using plaque as fulcrum point, investigator applied firm steady pressure to elongate and stretch the penis</w:t>
      </w:r>
      <w:r w:rsidR="00F756AB">
        <w:rPr>
          <w:rFonts w:ascii="Times New Roman" w:hAnsi="Times New Roman" w:cs="Times New Roman"/>
          <w:sz w:val="20"/>
          <w:szCs w:val="20"/>
        </w:rPr>
        <w:t xml:space="preserve"> and </w:t>
      </w:r>
      <w:r w:rsidR="00F756AB" w:rsidRPr="002008A4">
        <w:rPr>
          <w:rFonts w:ascii="Times New Roman" w:hAnsi="Times New Roman" w:cs="Times New Roman"/>
          <w:sz w:val="20"/>
          <w:szCs w:val="20"/>
        </w:rPr>
        <w:t>held</w:t>
      </w:r>
      <w:r w:rsidRPr="002008A4">
        <w:rPr>
          <w:rFonts w:ascii="Times New Roman" w:hAnsi="Times New Roman" w:cs="Times New Roman"/>
          <w:sz w:val="20"/>
          <w:szCs w:val="20"/>
        </w:rPr>
        <w:t xml:space="preserve"> in this position for 30 seconds</w:t>
      </w:r>
      <w:r w:rsidR="00F756AB">
        <w:rPr>
          <w:rFonts w:ascii="Times New Roman" w:hAnsi="Times New Roman" w:cs="Times New Roman"/>
          <w:sz w:val="20"/>
          <w:szCs w:val="20"/>
        </w:rPr>
        <w:t>)</w:t>
      </w:r>
      <w:r w:rsidRPr="002008A4">
        <w:rPr>
          <w:rFonts w:ascii="Times New Roman" w:hAnsi="Times New Roman" w:cs="Times New Roman"/>
          <w:sz w:val="20"/>
          <w:szCs w:val="20"/>
        </w:rPr>
        <w:t xml:space="preserve">.  </w:t>
      </w:r>
      <w:r w:rsidR="00F756AB">
        <w:rPr>
          <w:rFonts w:ascii="Times New Roman" w:hAnsi="Times New Roman" w:cs="Times New Roman"/>
          <w:sz w:val="20"/>
          <w:szCs w:val="20"/>
        </w:rPr>
        <w:t>This p</w:t>
      </w:r>
      <w:r w:rsidRPr="002008A4">
        <w:rPr>
          <w:rFonts w:ascii="Times New Roman" w:hAnsi="Times New Roman" w:cs="Times New Roman"/>
          <w:sz w:val="20"/>
          <w:szCs w:val="20"/>
        </w:rPr>
        <w:t>r</w:t>
      </w:r>
      <w:r w:rsidR="00F756AB">
        <w:rPr>
          <w:rFonts w:ascii="Times New Roman" w:hAnsi="Times New Roman" w:cs="Times New Roman"/>
          <w:sz w:val="20"/>
          <w:szCs w:val="20"/>
        </w:rPr>
        <w:t xml:space="preserve">ocedure was repeated 3 times. Patients </w:t>
      </w:r>
      <w:r w:rsidRPr="002008A4">
        <w:rPr>
          <w:rFonts w:ascii="Times New Roman" w:hAnsi="Times New Roman" w:cs="Times New Roman"/>
          <w:sz w:val="20"/>
          <w:szCs w:val="20"/>
        </w:rPr>
        <w:t xml:space="preserve">were instructed to perform </w:t>
      </w:r>
      <w:r w:rsidR="00043371">
        <w:rPr>
          <w:rFonts w:ascii="Times New Roman" w:hAnsi="Times New Roman" w:cs="Times New Roman"/>
          <w:sz w:val="20"/>
          <w:szCs w:val="20"/>
        </w:rPr>
        <w:t xml:space="preserve">the modeling procedure at home </w:t>
      </w:r>
      <w:r w:rsidRPr="002008A4">
        <w:rPr>
          <w:rFonts w:ascii="Times New Roman" w:hAnsi="Times New Roman" w:cs="Times New Roman"/>
          <w:sz w:val="20"/>
          <w:szCs w:val="20"/>
        </w:rPr>
        <w:t>3 times daily using similar procedure during the 6-week period between each treatment cycle.</w:t>
      </w:r>
    </w:p>
    <w:p w:rsidR="002008A4" w:rsidRPr="002008A4" w:rsidRDefault="002008A4" w:rsidP="002008A4">
      <w:pPr>
        <w:pStyle w:val="NoSpacing"/>
        <w:rPr>
          <w:rFonts w:ascii="Times New Roman" w:hAnsi="Times New Roman" w:cs="Times New Roman"/>
          <w:sz w:val="20"/>
          <w:szCs w:val="20"/>
        </w:rPr>
      </w:pPr>
    </w:p>
    <w:p w:rsidR="004D36C9" w:rsidRDefault="002008A4" w:rsidP="002008A4">
      <w:pPr>
        <w:pStyle w:val="NoSpacing"/>
        <w:rPr>
          <w:rFonts w:ascii="Times New Roman" w:hAnsi="Times New Roman" w:cs="Times New Roman"/>
          <w:sz w:val="20"/>
          <w:szCs w:val="20"/>
        </w:rPr>
      </w:pPr>
      <w:r w:rsidRPr="002008A4">
        <w:rPr>
          <w:rFonts w:ascii="Times New Roman" w:hAnsi="Times New Roman" w:cs="Times New Roman"/>
          <w:sz w:val="20"/>
          <w:szCs w:val="20"/>
        </w:rPr>
        <w:t>The treatment cycle was repeated after 6 weeks for up to 4 treatment cycles.  After the 1</w:t>
      </w:r>
      <w:r w:rsidRPr="002008A4">
        <w:rPr>
          <w:rFonts w:ascii="Times New Roman" w:hAnsi="Times New Roman" w:cs="Times New Roman"/>
          <w:sz w:val="20"/>
          <w:szCs w:val="20"/>
          <w:vertAlign w:val="superscript"/>
        </w:rPr>
        <w:t>st</w:t>
      </w:r>
      <w:r w:rsidRPr="002008A4">
        <w:rPr>
          <w:rFonts w:ascii="Times New Roman" w:hAnsi="Times New Roman" w:cs="Times New Roman"/>
          <w:sz w:val="20"/>
          <w:szCs w:val="20"/>
        </w:rPr>
        <w:t xml:space="preserve"> treatment cycle, subsequent cycles were not administered if curvature</w:t>
      </w:r>
      <w:r w:rsidR="00780CF0">
        <w:rPr>
          <w:rFonts w:ascii="Times New Roman" w:hAnsi="Times New Roman" w:cs="Times New Roman"/>
          <w:sz w:val="20"/>
          <w:szCs w:val="20"/>
        </w:rPr>
        <w:t xml:space="preserve"> abnormality was reduced to &lt;15 degrees</w:t>
      </w:r>
      <w:r w:rsidRPr="002008A4">
        <w:rPr>
          <w:rFonts w:ascii="Times New Roman" w:hAnsi="Times New Roman" w:cs="Times New Roman"/>
          <w:sz w:val="20"/>
          <w:szCs w:val="20"/>
        </w:rPr>
        <w:t xml:space="preserve"> or further treatment was not clinically indicated</w:t>
      </w:r>
      <w:r w:rsidR="00165458">
        <w:rPr>
          <w:rFonts w:ascii="Times New Roman" w:hAnsi="Times New Roman" w:cs="Times New Roman"/>
          <w:sz w:val="20"/>
          <w:szCs w:val="20"/>
        </w:rPr>
        <w:t>.</w:t>
      </w:r>
    </w:p>
    <w:p w:rsidR="00165458" w:rsidRDefault="00165458" w:rsidP="002008A4">
      <w:pPr>
        <w:pStyle w:val="NoSpacing"/>
        <w:rPr>
          <w:rFonts w:ascii="Times New Roman" w:hAnsi="Times New Roman" w:cs="Times New Roman"/>
          <w:sz w:val="20"/>
          <w:szCs w:val="20"/>
        </w:rPr>
      </w:pPr>
    </w:p>
    <w:p w:rsidR="00165458" w:rsidRDefault="00165458" w:rsidP="002008A4">
      <w:pPr>
        <w:pStyle w:val="NoSpacing"/>
        <w:rPr>
          <w:rFonts w:ascii="Times New Roman" w:hAnsi="Times New Roman" w:cs="Times New Roman"/>
          <w:sz w:val="20"/>
          <w:szCs w:val="20"/>
        </w:rPr>
      </w:pPr>
      <w:r>
        <w:rPr>
          <w:rFonts w:ascii="Times New Roman" w:hAnsi="Times New Roman" w:cs="Times New Roman"/>
          <w:sz w:val="20"/>
          <w:szCs w:val="20"/>
        </w:rPr>
        <w:t>The mean age of patients was approximately 57 years, 96% Caucasian, mean PD history of 4.1 years, mean penile curvature of 50 degrees (77% with curvature deformity between 30-</w:t>
      </w:r>
      <w:r w:rsidR="00780CF0">
        <w:rPr>
          <w:rFonts w:ascii="Times New Roman" w:hAnsi="Times New Roman" w:cs="Times New Roman"/>
          <w:sz w:val="20"/>
          <w:szCs w:val="20"/>
        </w:rPr>
        <w:t>60 degrees</w:t>
      </w:r>
      <w:r w:rsidR="00043371">
        <w:rPr>
          <w:rFonts w:ascii="Times New Roman" w:hAnsi="Times New Roman" w:cs="Times New Roman"/>
          <w:sz w:val="20"/>
          <w:szCs w:val="20"/>
        </w:rPr>
        <w:t>), and approximately 50% had a</w:t>
      </w:r>
      <w:r>
        <w:rPr>
          <w:rFonts w:ascii="Times New Roman" w:hAnsi="Times New Roman" w:cs="Times New Roman"/>
          <w:sz w:val="20"/>
          <w:szCs w:val="20"/>
        </w:rPr>
        <w:t xml:space="preserve"> history of PD.  </w:t>
      </w:r>
    </w:p>
    <w:p w:rsidR="00165458" w:rsidRDefault="00165458" w:rsidP="002008A4">
      <w:pPr>
        <w:pStyle w:val="NoSpacing"/>
        <w:rPr>
          <w:rFonts w:ascii="Times New Roman" w:hAnsi="Times New Roman" w:cs="Times New Roman"/>
          <w:sz w:val="20"/>
          <w:szCs w:val="20"/>
        </w:rPr>
      </w:pPr>
    </w:p>
    <w:p w:rsidR="00B75B0C" w:rsidRDefault="00165458" w:rsidP="002008A4">
      <w:pPr>
        <w:pStyle w:val="NoSpacing"/>
        <w:rPr>
          <w:rFonts w:ascii="Times New Roman" w:hAnsi="Times New Roman" w:cs="Times New Roman"/>
          <w:sz w:val="20"/>
          <w:szCs w:val="20"/>
        </w:rPr>
      </w:pPr>
      <w:r>
        <w:rPr>
          <w:rFonts w:ascii="Times New Roman" w:hAnsi="Times New Roman" w:cs="Times New Roman"/>
          <w:sz w:val="20"/>
          <w:szCs w:val="20"/>
        </w:rPr>
        <w:t xml:space="preserve">The co-primary endpoints were percent change from baseline in penile curvature and change from baseline in the </w:t>
      </w:r>
      <w:r w:rsidRPr="006527F7">
        <w:rPr>
          <w:rFonts w:ascii="Times New Roman" w:hAnsi="Times New Roman" w:cs="Times New Roman"/>
          <w:sz w:val="20"/>
          <w:szCs w:val="20"/>
        </w:rPr>
        <w:t>Bother domain score of the Peyronie’s Disease Questionnaire (PDQ).</w:t>
      </w:r>
      <w:r w:rsidR="00756138">
        <w:rPr>
          <w:rFonts w:ascii="Times New Roman" w:hAnsi="Times New Roman" w:cs="Times New Roman"/>
          <w:sz w:val="20"/>
          <w:szCs w:val="20"/>
        </w:rPr>
        <w:t xml:space="preserve">  </w:t>
      </w:r>
      <w:r w:rsidR="00121042">
        <w:rPr>
          <w:rFonts w:ascii="Times New Roman" w:hAnsi="Times New Roman" w:cs="Times New Roman"/>
          <w:sz w:val="20"/>
          <w:szCs w:val="20"/>
        </w:rPr>
        <w:t xml:space="preserve">The PDQ </w:t>
      </w:r>
      <w:r w:rsidR="00141348">
        <w:rPr>
          <w:rFonts w:ascii="Times New Roman" w:hAnsi="Times New Roman" w:cs="Times New Roman"/>
          <w:sz w:val="20"/>
          <w:szCs w:val="20"/>
        </w:rPr>
        <w:t>is</w:t>
      </w:r>
      <w:r w:rsidR="006527F7">
        <w:rPr>
          <w:rFonts w:ascii="Times New Roman" w:hAnsi="Times New Roman" w:cs="Times New Roman"/>
          <w:sz w:val="20"/>
          <w:szCs w:val="20"/>
        </w:rPr>
        <w:t xml:space="preserve"> a questionnaire used to assess</w:t>
      </w:r>
      <w:r w:rsidR="00141348">
        <w:rPr>
          <w:rFonts w:ascii="Times New Roman" w:hAnsi="Times New Roman" w:cs="Times New Roman"/>
          <w:sz w:val="20"/>
          <w:szCs w:val="20"/>
        </w:rPr>
        <w:t xml:space="preserve"> the psychosexual impact of PD</w:t>
      </w:r>
      <w:r w:rsidR="00F72AFF">
        <w:rPr>
          <w:rFonts w:ascii="Times New Roman" w:hAnsi="Times New Roman" w:cs="Times New Roman"/>
          <w:sz w:val="20"/>
          <w:szCs w:val="20"/>
        </w:rPr>
        <w:t xml:space="preserve"> and requires that the patient has had vaginal intercourse within the last 3 months.  </w:t>
      </w:r>
      <w:r w:rsidR="00141348">
        <w:rPr>
          <w:rFonts w:ascii="Times New Roman" w:hAnsi="Times New Roman" w:cs="Times New Roman"/>
          <w:sz w:val="20"/>
          <w:szCs w:val="20"/>
        </w:rPr>
        <w:t xml:space="preserve">The questionnaire was developed by the manufacturer and is comprised of 15 </w:t>
      </w:r>
      <w:r w:rsidR="006527F7">
        <w:rPr>
          <w:rFonts w:ascii="Times New Roman" w:hAnsi="Times New Roman" w:cs="Times New Roman"/>
          <w:sz w:val="20"/>
          <w:szCs w:val="20"/>
        </w:rPr>
        <w:t>questions divided</w:t>
      </w:r>
      <w:r w:rsidR="00141348">
        <w:rPr>
          <w:rFonts w:ascii="Times New Roman" w:hAnsi="Times New Roman" w:cs="Times New Roman"/>
          <w:sz w:val="20"/>
          <w:szCs w:val="20"/>
        </w:rPr>
        <w:t xml:space="preserve"> into 3 subscale domains (psychological and physical symptoms, penile pain, and symptom bother).</w:t>
      </w:r>
      <w:r w:rsidR="006527F7">
        <w:rPr>
          <w:rFonts w:ascii="Times New Roman" w:hAnsi="Times New Roman" w:cs="Times New Roman"/>
          <w:sz w:val="20"/>
          <w:szCs w:val="20"/>
        </w:rPr>
        <w:t xml:space="preserve">  </w:t>
      </w:r>
      <w:r w:rsidR="00F72AFF">
        <w:rPr>
          <w:rFonts w:ascii="Times New Roman" w:hAnsi="Times New Roman" w:cs="Times New Roman"/>
          <w:sz w:val="20"/>
          <w:szCs w:val="20"/>
        </w:rPr>
        <w:t xml:space="preserve">Each subscale domain is scored separately with higher scores representing greater negative impact. </w:t>
      </w:r>
      <w:r w:rsidR="006527F7">
        <w:rPr>
          <w:rFonts w:ascii="Times New Roman" w:hAnsi="Times New Roman" w:cs="Times New Roman"/>
          <w:sz w:val="20"/>
          <w:szCs w:val="20"/>
        </w:rPr>
        <w:t>The PD symptom bother domain has 4 questions each graded on a 0-4 scale (4=very severe)</w:t>
      </w:r>
      <w:r w:rsidR="00F72AFF">
        <w:rPr>
          <w:rFonts w:ascii="Times New Roman" w:hAnsi="Times New Roman" w:cs="Times New Roman"/>
          <w:sz w:val="20"/>
          <w:szCs w:val="20"/>
        </w:rPr>
        <w:t>; the highest score for this domain is 16.  The range of scores for the psychosocial and physical symptoms domain is 0-24 and 0-30 for the penile pain domain.</w:t>
      </w:r>
      <w:r w:rsidR="00E70033">
        <w:rPr>
          <w:rFonts w:ascii="Times New Roman" w:hAnsi="Times New Roman" w:cs="Times New Roman"/>
          <w:sz w:val="20"/>
          <w:szCs w:val="20"/>
        </w:rPr>
        <w:t xml:space="preserve">  Baseline PDQ bother domain score was 7.5 and 7.8 for the CCH and placebo groups respectively.</w:t>
      </w:r>
    </w:p>
    <w:p w:rsidR="00B75B0C" w:rsidRDefault="00B75B0C" w:rsidP="002008A4">
      <w:pPr>
        <w:pStyle w:val="NoSpacing"/>
        <w:rPr>
          <w:rFonts w:ascii="Times New Roman" w:hAnsi="Times New Roman" w:cs="Times New Roman"/>
          <w:sz w:val="20"/>
          <w:szCs w:val="20"/>
        </w:rPr>
      </w:pPr>
    </w:p>
    <w:p w:rsidR="00165458" w:rsidRPr="002008A4" w:rsidRDefault="00E719A8" w:rsidP="002008A4">
      <w:pPr>
        <w:pStyle w:val="NoSpacing"/>
        <w:rPr>
          <w:rFonts w:ascii="Times New Roman" w:hAnsi="Times New Roman" w:cs="Times New Roman"/>
          <w:sz w:val="20"/>
          <w:szCs w:val="20"/>
        </w:rPr>
      </w:pPr>
      <w:r>
        <w:rPr>
          <w:rFonts w:ascii="Times New Roman" w:hAnsi="Times New Roman" w:cs="Times New Roman"/>
          <w:sz w:val="20"/>
          <w:szCs w:val="20"/>
        </w:rPr>
        <w:t>In the CCH</w:t>
      </w:r>
      <w:r w:rsidR="00756138">
        <w:rPr>
          <w:rFonts w:ascii="Times New Roman" w:hAnsi="Times New Roman" w:cs="Times New Roman"/>
          <w:sz w:val="20"/>
          <w:szCs w:val="20"/>
        </w:rPr>
        <w:t xml:space="preserve"> and placebo groups, 78.8% and 87.9% of patients </w:t>
      </w:r>
      <w:r w:rsidR="00592824">
        <w:rPr>
          <w:rFonts w:ascii="Times New Roman" w:hAnsi="Times New Roman" w:cs="Times New Roman"/>
          <w:sz w:val="20"/>
          <w:szCs w:val="20"/>
        </w:rPr>
        <w:t xml:space="preserve">respectively </w:t>
      </w:r>
      <w:r w:rsidR="00756138">
        <w:rPr>
          <w:rFonts w:ascii="Times New Roman" w:hAnsi="Times New Roman" w:cs="Times New Roman"/>
          <w:sz w:val="20"/>
          <w:szCs w:val="20"/>
        </w:rPr>
        <w:t>received all 8 injections.</w:t>
      </w:r>
      <w:r w:rsidR="0006296D">
        <w:rPr>
          <w:rFonts w:ascii="Times New Roman" w:hAnsi="Times New Roman" w:cs="Times New Roman"/>
          <w:sz w:val="20"/>
          <w:szCs w:val="20"/>
        </w:rPr>
        <w:t xml:space="preserve">  Compared to placebo, significantly great</w:t>
      </w:r>
      <w:r>
        <w:rPr>
          <w:rFonts w:ascii="Times New Roman" w:hAnsi="Times New Roman" w:cs="Times New Roman"/>
          <w:sz w:val="20"/>
          <w:szCs w:val="20"/>
        </w:rPr>
        <w:t>er improvement was seen with CCH</w:t>
      </w:r>
      <w:r w:rsidR="0006296D">
        <w:rPr>
          <w:rFonts w:ascii="Times New Roman" w:hAnsi="Times New Roman" w:cs="Times New Roman"/>
          <w:sz w:val="20"/>
          <w:szCs w:val="20"/>
        </w:rPr>
        <w:t xml:space="preserve"> for both endpoints (</w:t>
      </w:r>
      <w:r w:rsidR="00AA65AC">
        <w:rPr>
          <w:rFonts w:ascii="Times New Roman" w:hAnsi="Times New Roman" w:cs="Times New Roman"/>
          <w:b/>
          <w:sz w:val="20"/>
          <w:szCs w:val="20"/>
          <w:u w:val="single"/>
        </w:rPr>
        <w:t>Table 2</w:t>
      </w:r>
      <w:r w:rsidR="0006296D">
        <w:rPr>
          <w:rFonts w:ascii="Times New Roman" w:hAnsi="Times New Roman" w:cs="Times New Roman"/>
          <w:sz w:val="20"/>
          <w:szCs w:val="20"/>
        </w:rPr>
        <w:t>).</w:t>
      </w:r>
      <w:r>
        <w:rPr>
          <w:rFonts w:ascii="Times New Roman" w:hAnsi="Times New Roman" w:cs="Times New Roman"/>
          <w:sz w:val="20"/>
          <w:szCs w:val="20"/>
        </w:rPr>
        <w:t xml:space="preserve">  See </w:t>
      </w:r>
      <w:r w:rsidRPr="00E719A8">
        <w:rPr>
          <w:rFonts w:ascii="Times New Roman" w:hAnsi="Times New Roman" w:cs="Times New Roman"/>
          <w:b/>
          <w:sz w:val="20"/>
          <w:szCs w:val="20"/>
          <w:u w:val="single"/>
        </w:rPr>
        <w:t>A</w:t>
      </w:r>
      <w:r w:rsidR="00561944" w:rsidRPr="00E719A8">
        <w:rPr>
          <w:rFonts w:ascii="Times New Roman" w:hAnsi="Times New Roman" w:cs="Times New Roman"/>
          <w:b/>
          <w:sz w:val="20"/>
          <w:szCs w:val="20"/>
          <w:u w:val="single"/>
        </w:rPr>
        <w:t>ppendix</w:t>
      </w:r>
      <w:r w:rsidR="00561944">
        <w:rPr>
          <w:rFonts w:ascii="Times New Roman" w:hAnsi="Times New Roman" w:cs="Times New Roman"/>
          <w:sz w:val="20"/>
          <w:szCs w:val="20"/>
        </w:rPr>
        <w:t xml:space="preserve"> for results of secondary endpoints.</w:t>
      </w:r>
    </w:p>
    <w:p w:rsidR="00756138" w:rsidRPr="00756138" w:rsidRDefault="00756138" w:rsidP="00C11EAE">
      <w:pPr>
        <w:pStyle w:val="NoSpacing"/>
        <w:rPr>
          <w:rFonts w:cs="Times New Roman"/>
          <w:b/>
          <w:sz w:val="20"/>
          <w:szCs w:val="20"/>
        </w:rPr>
      </w:pPr>
      <w:r w:rsidRPr="00756138">
        <w:rPr>
          <w:rFonts w:cs="Times New Roman"/>
          <w:b/>
          <w:sz w:val="20"/>
          <w:szCs w:val="20"/>
        </w:rPr>
        <w:lastRenderedPageBreak/>
        <w:t>Table</w:t>
      </w:r>
      <w:r w:rsidR="00AA65AC">
        <w:rPr>
          <w:rFonts w:cs="Times New Roman"/>
          <w:b/>
          <w:sz w:val="20"/>
          <w:szCs w:val="20"/>
        </w:rPr>
        <w:t xml:space="preserve"> 2</w:t>
      </w:r>
      <w:r w:rsidRPr="00756138">
        <w:rPr>
          <w:rFonts w:cs="Times New Roman"/>
          <w:b/>
          <w:sz w:val="20"/>
          <w:szCs w:val="20"/>
        </w:rPr>
        <w:t>:  Results of Primary Endpoints</w:t>
      </w:r>
    </w:p>
    <w:tbl>
      <w:tblPr>
        <w:tblStyle w:val="TableGrid"/>
        <w:tblW w:w="6588" w:type="dxa"/>
        <w:tblLook w:val="04A0" w:firstRow="1" w:lastRow="0" w:firstColumn="1" w:lastColumn="0" w:noHBand="0" w:noVBand="1"/>
      </w:tblPr>
      <w:tblGrid>
        <w:gridCol w:w="3168"/>
        <w:gridCol w:w="1710"/>
        <w:gridCol w:w="1710"/>
      </w:tblGrid>
      <w:tr w:rsidR="00756138" w:rsidRPr="00D01122" w:rsidTr="00756138">
        <w:tc>
          <w:tcPr>
            <w:tcW w:w="3168" w:type="dxa"/>
            <w:tcBorders>
              <w:left w:val="nil"/>
              <w:right w:val="nil"/>
            </w:tcBorders>
            <w:shd w:val="clear" w:color="auto" w:fill="D9D9D9" w:themeFill="background1" w:themeFillShade="D9"/>
          </w:tcPr>
          <w:p w:rsidR="00756138" w:rsidRPr="00D01122" w:rsidRDefault="00756138" w:rsidP="00626826">
            <w:pPr>
              <w:pStyle w:val="NoSpacing"/>
              <w:rPr>
                <w:b/>
                <w:sz w:val="16"/>
                <w:szCs w:val="16"/>
              </w:rPr>
            </w:pPr>
          </w:p>
        </w:tc>
        <w:tc>
          <w:tcPr>
            <w:tcW w:w="1710" w:type="dxa"/>
            <w:tcBorders>
              <w:left w:val="nil"/>
              <w:right w:val="nil"/>
            </w:tcBorders>
            <w:shd w:val="clear" w:color="auto" w:fill="D9D9D9" w:themeFill="background1" w:themeFillShade="D9"/>
          </w:tcPr>
          <w:p w:rsidR="00756138" w:rsidRPr="00D01122" w:rsidRDefault="00E719A8" w:rsidP="00626826">
            <w:pPr>
              <w:pStyle w:val="NoSpacing"/>
              <w:jc w:val="center"/>
              <w:rPr>
                <w:b/>
                <w:sz w:val="16"/>
                <w:szCs w:val="16"/>
              </w:rPr>
            </w:pPr>
            <w:r>
              <w:rPr>
                <w:b/>
                <w:sz w:val="16"/>
                <w:szCs w:val="16"/>
              </w:rPr>
              <w:t>CCH</w:t>
            </w:r>
          </w:p>
        </w:tc>
        <w:tc>
          <w:tcPr>
            <w:tcW w:w="1710" w:type="dxa"/>
            <w:tcBorders>
              <w:left w:val="nil"/>
              <w:right w:val="nil"/>
            </w:tcBorders>
            <w:shd w:val="clear" w:color="auto" w:fill="D9D9D9" w:themeFill="background1" w:themeFillShade="D9"/>
          </w:tcPr>
          <w:p w:rsidR="00756138" w:rsidRPr="00D01122" w:rsidRDefault="00756138" w:rsidP="00626826">
            <w:pPr>
              <w:pStyle w:val="NoSpacing"/>
              <w:jc w:val="center"/>
              <w:rPr>
                <w:b/>
                <w:sz w:val="16"/>
                <w:szCs w:val="16"/>
              </w:rPr>
            </w:pPr>
            <w:r w:rsidRPr="00D01122">
              <w:rPr>
                <w:b/>
                <w:sz w:val="16"/>
                <w:szCs w:val="16"/>
              </w:rPr>
              <w:t>PBO</w:t>
            </w:r>
          </w:p>
        </w:tc>
      </w:tr>
      <w:tr w:rsidR="00756138" w:rsidTr="00756138">
        <w:tc>
          <w:tcPr>
            <w:tcW w:w="3168" w:type="dxa"/>
            <w:tcBorders>
              <w:left w:val="nil"/>
              <w:right w:val="nil"/>
            </w:tcBorders>
          </w:tcPr>
          <w:p w:rsidR="00756138" w:rsidRDefault="00756138" w:rsidP="00626826">
            <w:pPr>
              <w:pStyle w:val="NoSpacing"/>
              <w:rPr>
                <w:sz w:val="16"/>
                <w:szCs w:val="16"/>
              </w:rPr>
            </w:pPr>
            <w:r>
              <w:rPr>
                <w:sz w:val="16"/>
                <w:szCs w:val="16"/>
              </w:rPr>
              <w:t>Penile curvature at 52 weeks (degrees)</w:t>
            </w:r>
          </w:p>
        </w:tc>
        <w:tc>
          <w:tcPr>
            <w:tcW w:w="1710" w:type="dxa"/>
            <w:tcBorders>
              <w:left w:val="nil"/>
              <w:right w:val="nil"/>
            </w:tcBorders>
            <w:vAlign w:val="center"/>
          </w:tcPr>
          <w:p w:rsidR="00756138" w:rsidRDefault="00756138" w:rsidP="00626826">
            <w:pPr>
              <w:pStyle w:val="NoSpacing"/>
              <w:jc w:val="center"/>
              <w:rPr>
                <w:sz w:val="16"/>
                <w:szCs w:val="16"/>
              </w:rPr>
            </w:pPr>
            <w:r>
              <w:rPr>
                <w:sz w:val="16"/>
                <w:szCs w:val="16"/>
              </w:rPr>
              <w:t>33.1±16.8*</w:t>
            </w:r>
          </w:p>
        </w:tc>
        <w:tc>
          <w:tcPr>
            <w:tcW w:w="1710" w:type="dxa"/>
            <w:tcBorders>
              <w:left w:val="nil"/>
              <w:right w:val="nil"/>
            </w:tcBorders>
            <w:vAlign w:val="center"/>
          </w:tcPr>
          <w:p w:rsidR="00756138" w:rsidRDefault="00756138" w:rsidP="00626826">
            <w:pPr>
              <w:pStyle w:val="NoSpacing"/>
              <w:jc w:val="center"/>
              <w:rPr>
                <w:sz w:val="16"/>
                <w:szCs w:val="16"/>
              </w:rPr>
            </w:pPr>
            <w:r>
              <w:rPr>
                <w:sz w:val="16"/>
                <w:szCs w:val="16"/>
              </w:rPr>
              <w:t>40±16.2</w:t>
            </w:r>
          </w:p>
        </w:tc>
      </w:tr>
      <w:tr w:rsidR="00756138" w:rsidTr="00756138">
        <w:tc>
          <w:tcPr>
            <w:tcW w:w="3168" w:type="dxa"/>
            <w:tcBorders>
              <w:left w:val="nil"/>
              <w:right w:val="nil"/>
            </w:tcBorders>
          </w:tcPr>
          <w:p w:rsidR="00756138" w:rsidRDefault="00756138" w:rsidP="00626826">
            <w:pPr>
              <w:pStyle w:val="NoSpacing"/>
              <w:rPr>
                <w:sz w:val="16"/>
                <w:szCs w:val="16"/>
              </w:rPr>
            </w:pPr>
            <w:r>
              <w:rPr>
                <w:sz w:val="16"/>
                <w:szCs w:val="16"/>
              </w:rPr>
              <w:t>Change in curvature (%)</w:t>
            </w:r>
          </w:p>
        </w:tc>
        <w:tc>
          <w:tcPr>
            <w:tcW w:w="1710" w:type="dxa"/>
            <w:tcBorders>
              <w:left w:val="nil"/>
              <w:right w:val="nil"/>
            </w:tcBorders>
            <w:vAlign w:val="center"/>
          </w:tcPr>
          <w:p w:rsidR="00756138" w:rsidRDefault="00756138" w:rsidP="00626826">
            <w:pPr>
              <w:pStyle w:val="NoSpacing"/>
              <w:jc w:val="center"/>
              <w:rPr>
                <w:sz w:val="16"/>
                <w:szCs w:val="16"/>
              </w:rPr>
            </w:pPr>
            <w:r>
              <w:rPr>
                <w:sz w:val="16"/>
                <w:szCs w:val="16"/>
              </w:rPr>
              <w:t>-34*</w:t>
            </w:r>
          </w:p>
        </w:tc>
        <w:tc>
          <w:tcPr>
            <w:tcW w:w="1710" w:type="dxa"/>
            <w:tcBorders>
              <w:left w:val="nil"/>
              <w:right w:val="nil"/>
            </w:tcBorders>
            <w:vAlign w:val="center"/>
          </w:tcPr>
          <w:p w:rsidR="00756138" w:rsidRDefault="00756138" w:rsidP="00626826">
            <w:pPr>
              <w:pStyle w:val="NoSpacing"/>
              <w:jc w:val="center"/>
              <w:rPr>
                <w:sz w:val="16"/>
                <w:szCs w:val="16"/>
              </w:rPr>
            </w:pPr>
            <w:r>
              <w:rPr>
                <w:sz w:val="16"/>
                <w:szCs w:val="16"/>
              </w:rPr>
              <w:t>-18.2</w:t>
            </w:r>
          </w:p>
        </w:tc>
      </w:tr>
      <w:tr w:rsidR="00756138" w:rsidTr="00756138">
        <w:tc>
          <w:tcPr>
            <w:tcW w:w="3168" w:type="dxa"/>
            <w:tcBorders>
              <w:left w:val="nil"/>
              <w:right w:val="nil"/>
            </w:tcBorders>
          </w:tcPr>
          <w:p w:rsidR="00756138" w:rsidRDefault="00B92B93" w:rsidP="00626826">
            <w:pPr>
              <w:pStyle w:val="NoSpacing"/>
              <w:rPr>
                <w:sz w:val="16"/>
                <w:szCs w:val="16"/>
              </w:rPr>
            </w:pPr>
            <w:r>
              <w:rPr>
                <w:sz w:val="16"/>
                <w:szCs w:val="16"/>
              </w:rPr>
              <w:t xml:space="preserve">Change in </w:t>
            </w:r>
            <w:r w:rsidR="00756138">
              <w:rPr>
                <w:sz w:val="16"/>
                <w:szCs w:val="16"/>
              </w:rPr>
              <w:t>PDQ bother domain score</w:t>
            </w:r>
          </w:p>
        </w:tc>
        <w:tc>
          <w:tcPr>
            <w:tcW w:w="1710" w:type="dxa"/>
            <w:tcBorders>
              <w:left w:val="nil"/>
              <w:right w:val="nil"/>
            </w:tcBorders>
            <w:vAlign w:val="center"/>
          </w:tcPr>
          <w:p w:rsidR="00756138" w:rsidRDefault="00756138" w:rsidP="00626826">
            <w:pPr>
              <w:pStyle w:val="NoSpacing"/>
              <w:jc w:val="center"/>
              <w:rPr>
                <w:sz w:val="16"/>
                <w:szCs w:val="16"/>
              </w:rPr>
            </w:pPr>
            <w:r>
              <w:rPr>
                <w:sz w:val="16"/>
                <w:szCs w:val="16"/>
              </w:rPr>
              <w:t>-2.8±3.8*</w:t>
            </w:r>
          </w:p>
        </w:tc>
        <w:tc>
          <w:tcPr>
            <w:tcW w:w="1710" w:type="dxa"/>
            <w:tcBorders>
              <w:left w:val="nil"/>
              <w:right w:val="nil"/>
            </w:tcBorders>
            <w:vAlign w:val="center"/>
          </w:tcPr>
          <w:p w:rsidR="00756138" w:rsidRDefault="00756138" w:rsidP="00626826">
            <w:pPr>
              <w:pStyle w:val="NoSpacing"/>
              <w:jc w:val="center"/>
              <w:rPr>
                <w:sz w:val="16"/>
                <w:szCs w:val="16"/>
              </w:rPr>
            </w:pPr>
            <w:r>
              <w:rPr>
                <w:sz w:val="16"/>
                <w:szCs w:val="16"/>
              </w:rPr>
              <w:t>-1.8±3.5</w:t>
            </w:r>
          </w:p>
        </w:tc>
      </w:tr>
    </w:tbl>
    <w:p w:rsidR="004D36C9" w:rsidRPr="00756138" w:rsidRDefault="00756138" w:rsidP="00C11EAE">
      <w:pPr>
        <w:pStyle w:val="NoSpacing"/>
        <w:rPr>
          <w:rFonts w:cs="Times New Roman"/>
          <w:sz w:val="16"/>
          <w:szCs w:val="16"/>
        </w:rPr>
      </w:pPr>
      <w:r w:rsidRPr="00756138">
        <w:rPr>
          <w:rFonts w:cs="Times New Roman"/>
          <w:sz w:val="16"/>
          <w:szCs w:val="16"/>
        </w:rPr>
        <w:t>*Significant vs. placebo</w:t>
      </w:r>
    </w:p>
    <w:p w:rsidR="00756138" w:rsidRPr="002008A4" w:rsidRDefault="00756138" w:rsidP="00C11EAE">
      <w:pPr>
        <w:pStyle w:val="NoSpacing"/>
        <w:rPr>
          <w:rFonts w:ascii="Times New Roman" w:hAnsi="Times New Roman" w:cs="Times New Roman"/>
          <w:sz w:val="20"/>
          <w:szCs w:val="20"/>
        </w:rPr>
      </w:pPr>
    </w:p>
    <w:p w:rsidR="00C26CA8" w:rsidRPr="00C26CA8" w:rsidRDefault="00C26CA8" w:rsidP="00C11EAE">
      <w:pPr>
        <w:pStyle w:val="NoSpacing"/>
        <w:rPr>
          <w:rFonts w:ascii="Times New Roman" w:hAnsi="Times New Roman" w:cs="Times New Roman"/>
          <w:sz w:val="20"/>
          <w:szCs w:val="20"/>
        </w:rPr>
      </w:pPr>
      <w:r>
        <w:rPr>
          <w:rFonts w:ascii="Times New Roman" w:hAnsi="Times New Roman" w:cs="Times New Roman"/>
          <w:sz w:val="20"/>
          <w:szCs w:val="20"/>
        </w:rPr>
        <w:t xml:space="preserve">Subgroup analyses showed that similar improvements in penile curvature and PD symptom bother score occurred regardless of age, concomitant diabetes, history of penile trauma, severity of curvature </w:t>
      </w:r>
      <w:r w:rsidR="00780CF0">
        <w:rPr>
          <w:rFonts w:ascii="Times New Roman" w:hAnsi="Times New Roman" w:cs="Times New Roman"/>
          <w:sz w:val="20"/>
          <w:szCs w:val="20"/>
        </w:rPr>
        <w:t>(30-60</w:t>
      </w:r>
      <w:r>
        <w:rPr>
          <w:rFonts w:ascii="Times New Roman" w:hAnsi="Times New Roman" w:cs="Times New Roman"/>
          <w:sz w:val="20"/>
          <w:szCs w:val="20"/>
        </w:rPr>
        <w:t xml:space="preserve"> vs. 61-90</w:t>
      </w:r>
      <w:r w:rsidR="00780CF0">
        <w:rPr>
          <w:rFonts w:ascii="Times New Roman" w:hAnsi="Times New Roman" w:cs="Times New Roman"/>
          <w:sz w:val="20"/>
          <w:szCs w:val="20"/>
        </w:rPr>
        <w:t xml:space="preserve"> degrees</w:t>
      </w:r>
      <w:r>
        <w:rPr>
          <w:rFonts w:ascii="Times New Roman" w:hAnsi="Times New Roman" w:cs="Times New Roman"/>
          <w:sz w:val="20"/>
          <w:szCs w:val="20"/>
        </w:rPr>
        <w:t>), duration of disease</w:t>
      </w:r>
      <w:r w:rsidR="00DB314A">
        <w:rPr>
          <w:rFonts w:ascii="Times New Roman" w:hAnsi="Times New Roman" w:cs="Times New Roman"/>
          <w:sz w:val="20"/>
          <w:szCs w:val="20"/>
        </w:rPr>
        <w:t xml:space="preserve"> or degree of plaque calcification (no calcification, non-contiguous stippling, contiguous stippling that did not interfere with injection)</w:t>
      </w:r>
      <w:r w:rsidR="00B50A21">
        <w:rPr>
          <w:rFonts w:ascii="Times New Roman" w:hAnsi="Times New Roman" w:cs="Times New Roman"/>
          <w:sz w:val="20"/>
          <w:szCs w:val="20"/>
        </w:rPr>
        <w:t xml:space="preserve">.  </w:t>
      </w:r>
    </w:p>
    <w:p w:rsidR="005100EB" w:rsidRDefault="005100EB" w:rsidP="00C11EAE">
      <w:pPr>
        <w:pStyle w:val="NoSpacing"/>
      </w:pPr>
    </w:p>
    <w:p w:rsidR="00C11EAE" w:rsidRPr="00CE7986" w:rsidRDefault="00C11EAE" w:rsidP="00C11EAE">
      <w:pPr>
        <w:pStyle w:val="NoSpacing"/>
        <w:rPr>
          <w:b/>
          <w:sz w:val="20"/>
          <w:szCs w:val="20"/>
          <w:u w:val="single"/>
        </w:rPr>
      </w:pPr>
      <w:r w:rsidRPr="00CE7986">
        <w:rPr>
          <w:b/>
          <w:u w:val="single"/>
        </w:rPr>
        <w:t>Safety</w:t>
      </w:r>
    </w:p>
    <w:p w:rsidR="005009DA" w:rsidRDefault="00112FD1" w:rsidP="00C11EAE">
      <w:pPr>
        <w:pStyle w:val="NoSpacing"/>
        <w:rPr>
          <w:rFonts w:ascii="Times New Roman" w:hAnsi="Times New Roman" w:cs="Times New Roman"/>
          <w:sz w:val="20"/>
          <w:szCs w:val="20"/>
        </w:rPr>
      </w:pPr>
      <w:r>
        <w:rPr>
          <w:rFonts w:ascii="Times New Roman" w:hAnsi="Times New Roman" w:cs="Times New Roman"/>
          <w:sz w:val="20"/>
          <w:szCs w:val="20"/>
        </w:rPr>
        <w:t>In the 52-week trials, t</w:t>
      </w:r>
      <w:r w:rsidR="002B2B5B">
        <w:rPr>
          <w:rFonts w:ascii="Times New Roman" w:hAnsi="Times New Roman" w:cs="Times New Roman"/>
          <w:sz w:val="20"/>
          <w:szCs w:val="20"/>
        </w:rPr>
        <w:t xml:space="preserve">reatment-related </w:t>
      </w:r>
      <w:r w:rsidR="003C24C6">
        <w:rPr>
          <w:rFonts w:ascii="Times New Roman" w:hAnsi="Times New Roman" w:cs="Times New Roman"/>
          <w:sz w:val="20"/>
          <w:szCs w:val="20"/>
        </w:rPr>
        <w:t>adverse events (</w:t>
      </w:r>
      <w:r w:rsidR="002B2B5B">
        <w:rPr>
          <w:rFonts w:ascii="Times New Roman" w:hAnsi="Times New Roman" w:cs="Times New Roman"/>
          <w:sz w:val="20"/>
          <w:szCs w:val="20"/>
        </w:rPr>
        <w:t>AEs</w:t>
      </w:r>
      <w:r w:rsidR="003C24C6">
        <w:rPr>
          <w:rFonts w:ascii="Times New Roman" w:hAnsi="Times New Roman" w:cs="Times New Roman"/>
          <w:sz w:val="20"/>
          <w:szCs w:val="20"/>
        </w:rPr>
        <w:t>)</w:t>
      </w:r>
      <w:r w:rsidR="002B2B5B">
        <w:rPr>
          <w:rFonts w:ascii="Times New Roman" w:hAnsi="Times New Roman" w:cs="Times New Roman"/>
          <w:sz w:val="20"/>
          <w:szCs w:val="20"/>
        </w:rPr>
        <w:t xml:space="preserve"> local to the penis and groin occurred in 84.2% and 36</w:t>
      </w:r>
      <w:r w:rsidR="00E719A8">
        <w:rPr>
          <w:rFonts w:ascii="Times New Roman" w:hAnsi="Times New Roman" w:cs="Times New Roman"/>
          <w:sz w:val="20"/>
          <w:szCs w:val="20"/>
        </w:rPr>
        <w:t>.3% of patients treated with CCH</w:t>
      </w:r>
      <w:r w:rsidR="002B2B5B">
        <w:rPr>
          <w:rFonts w:ascii="Times New Roman" w:hAnsi="Times New Roman" w:cs="Times New Roman"/>
          <w:sz w:val="20"/>
          <w:szCs w:val="20"/>
        </w:rPr>
        <w:t xml:space="preserve"> and placebo respectively.  Adverse events were considered to be mild-moderate; 79% resolved without intervention within 14 days. </w:t>
      </w:r>
      <w:r w:rsidR="008C0041">
        <w:rPr>
          <w:rFonts w:ascii="Times New Roman" w:hAnsi="Times New Roman" w:cs="Times New Roman"/>
          <w:sz w:val="20"/>
          <w:szCs w:val="20"/>
        </w:rPr>
        <w:t xml:space="preserve"> Ten out 551 (1.8%) and 4/281 </w:t>
      </w:r>
      <w:r w:rsidR="00E719A8">
        <w:rPr>
          <w:rFonts w:ascii="Times New Roman" w:hAnsi="Times New Roman" w:cs="Times New Roman"/>
          <w:sz w:val="20"/>
          <w:szCs w:val="20"/>
        </w:rPr>
        <w:t>(1.4%) of patients receiving CCH</w:t>
      </w:r>
      <w:r w:rsidR="008C0041">
        <w:rPr>
          <w:rFonts w:ascii="Times New Roman" w:hAnsi="Times New Roman" w:cs="Times New Roman"/>
          <w:sz w:val="20"/>
          <w:szCs w:val="20"/>
        </w:rPr>
        <w:t xml:space="preserve"> and placebo respectively, discontinued treatment due to an AE.  </w:t>
      </w:r>
      <w:r w:rsidR="002B2B5B">
        <w:rPr>
          <w:rFonts w:ascii="Times New Roman" w:hAnsi="Times New Roman" w:cs="Times New Roman"/>
          <w:sz w:val="20"/>
          <w:szCs w:val="20"/>
        </w:rPr>
        <w:t>The mos</w:t>
      </w:r>
      <w:r w:rsidR="00E719A8">
        <w:rPr>
          <w:rFonts w:ascii="Times New Roman" w:hAnsi="Times New Roman" w:cs="Times New Roman"/>
          <w:sz w:val="20"/>
          <w:szCs w:val="20"/>
        </w:rPr>
        <w:t>t frequently reported AEs in CCH</w:t>
      </w:r>
      <w:r w:rsidR="002B2B5B">
        <w:rPr>
          <w:rFonts w:ascii="Times New Roman" w:hAnsi="Times New Roman" w:cs="Times New Roman"/>
          <w:sz w:val="20"/>
          <w:szCs w:val="20"/>
        </w:rPr>
        <w:t>-treated patients were penile ecchymosis, penile swelling, and penile pain (</w:t>
      </w:r>
      <w:r w:rsidR="00AA65AC">
        <w:rPr>
          <w:rFonts w:ascii="Times New Roman" w:hAnsi="Times New Roman" w:cs="Times New Roman"/>
          <w:b/>
          <w:sz w:val="20"/>
          <w:szCs w:val="20"/>
          <w:u w:val="single"/>
        </w:rPr>
        <w:t>Table 3</w:t>
      </w:r>
      <w:r w:rsidR="002B2B5B">
        <w:rPr>
          <w:rFonts w:ascii="Times New Roman" w:hAnsi="Times New Roman" w:cs="Times New Roman"/>
          <w:sz w:val="20"/>
          <w:szCs w:val="20"/>
        </w:rPr>
        <w:t xml:space="preserve">).  </w:t>
      </w:r>
    </w:p>
    <w:p w:rsidR="008061B6" w:rsidRDefault="008061B6" w:rsidP="008061B6">
      <w:pPr>
        <w:pStyle w:val="NoSpacing"/>
        <w:rPr>
          <w:rFonts w:ascii="Times New Roman" w:hAnsi="Times New Roman" w:cs="Times New Roman"/>
          <w:sz w:val="20"/>
          <w:szCs w:val="20"/>
        </w:rPr>
      </w:pPr>
    </w:p>
    <w:p w:rsidR="008061B6" w:rsidRDefault="005009DA" w:rsidP="008061B6">
      <w:pPr>
        <w:pStyle w:val="NoSpacing"/>
        <w:rPr>
          <w:rFonts w:ascii="Times New Roman" w:hAnsi="Times New Roman" w:cs="Times New Roman"/>
          <w:sz w:val="20"/>
          <w:szCs w:val="20"/>
        </w:rPr>
      </w:pPr>
      <w:r>
        <w:rPr>
          <w:rFonts w:ascii="Times New Roman" w:hAnsi="Times New Roman" w:cs="Times New Roman"/>
          <w:sz w:val="20"/>
          <w:szCs w:val="20"/>
        </w:rPr>
        <w:t>The safety database for CCH in PD includes 6 completed and 1 interim study and includes those patients who received ≥ 1 injection (n=954) during phase 2 and 3 trials.  There were 122/954 (12.8%) patients who discontinued the study; among these, 17 were due to an AE</w:t>
      </w:r>
      <w:r w:rsidR="008061B6">
        <w:rPr>
          <w:rFonts w:ascii="Times New Roman" w:hAnsi="Times New Roman" w:cs="Times New Roman"/>
          <w:sz w:val="20"/>
          <w:szCs w:val="20"/>
        </w:rPr>
        <w:t>.  The majority of patients (93.7%) reported at least 1 treatment-related nonserious AE (penile or injection site).  There were 58 (6.1%) patients who experienced at least 1 nonfatal serious AE; 50 were considered not to be treatment related and 8 were considered treatment related (penile hematoma (n=4), corporal rupture (n=4). There were 3 deaths in the CCH groups and none in the placebo groups.  The deaths were considered unrelated to treatment.</w:t>
      </w:r>
    </w:p>
    <w:p w:rsidR="005009DA" w:rsidRDefault="005009DA" w:rsidP="00C11EAE">
      <w:pPr>
        <w:pStyle w:val="NoSpacing"/>
        <w:rPr>
          <w:rFonts w:ascii="Times New Roman" w:hAnsi="Times New Roman" w:cs="Times New Roman"/>
          <w:sz w:val="20"/>
          <w:szCs w:val="20"/>
        </w:rPr>
      </w:pPr>
    </w:p>
    <w:p w:rsidR="002D2E89" w:rsidRPr="002D2E89" w:rsidRDefault="002D2E89" w:rsidP="002D2E89">
      <w:pPr>
        <w:pStyle w:val="NoSpacing"/>
        <w:rPr>
          <w:b/>
          <w:sz w:val="20"/>
          <w:szCs w:val="20"/>
        </w:rPr>
      </w:pPr>
      <w:r w:rsidRPr="002D2E89">
        <w:rPr>
          <w:b/>
          <w:sz w:val="20"/>
          <w:szCs w:val="20"/>
        </w:rPr>
        <w:t>Table</w:t>
      </w:r>
      <w:r w:rsidR="00AA65AC">
        <w:rPr>
          <w:b/>
          <w:sz w:val="20"/>
          <w:szCs w:val="20"/>
        </w:rPr>
        <w:t xml:space="preserve"> 3</w:t>
      </w:r>
      <w:r w:rsidRPr="002D2E89">
        <w:rPr>
          <w:b/>
          <w:sz w:val="20"/>
          <w:szCs w:val="20"/>
        </w:rPr>
        <w:t xml:space="preserve">:  Adverse Events </w:t>
      </w:r>
      <w:r w:rsidR="00E719A8">
        <w:rPr>
          <w:b/>
          <w:sz w:val="20"/>
          <w:szCs w:val="20"/>
        </w:rPr>
        <w:t>(%) Occurring in ≥1% of CCH</w:t>
      </w:r>
      <w:r w:rsidRPr="002D2E89">
        <w:rPr>
          <w:b/>
          <w:sz w:val="20"/>
          <w:szCs w:val="20"/>
        </w:rPr>
        <w:t xml:space="preserve">-Treated </w:t>
      </w:r>
    </w:p>
    <w:p w:rsidR="00C11EAE" w:rsidRPr="002D2E89" w:rsidRDefault="002D2E89" w:rsidP="002D2E89">
      <w:pPr>
        <w:pStyle w:val="NoSpacing"/>
        <w:rPr>
          <w:b/>
          <w:sz w:val="20"/>
          <w:szCs w:val="20"/>
        </w:rPr>
      </w:pPr>
      <w:r w:rsidRPr="002D2E89">
        <w:rPr>
          <w:b/>
          <w:sz w:val="20"/>
          <w:szCs w:val="20"/>
        </w:rPr>
        <w:t>Patients in 52-week Trials</w:t>
      </w:r>
    </w:p>
    <w:tbl>
      <w:tblPr>
        <w:tblStyle w:val="TableGrid"/>
        <w:tblW w:w="0" w:type="auto"/>
        <w:tblLook w:val="04A0" w:firstRow="1" w:lastRow="0" w:firstColumn="1" w:lastColumn="0" w:noHBand="0" w:noVBand="1"/>
      </w:tblPr>
      <w:tblGrid>
        <w:gridCol w:w="2358"/>
        <w:gridCol w:w="1440"/>
        <w:gridCol w:w="1440"/>
      </w:tblGrid>
      <w:tr w:rsidR="005009DA" w:rsidRPr="007B6317" w:rsidTr="008A233D">
        <w:tc>
          <w:tcPr>
            <w:tcW w:w="2358" w:type="dxa"/>
            <w:tcBorders>
              <w:left w:val="nil"/>
              <w:right w:val="nil"/>
            </w:tcBorders>
            <w:shd w:val="clear" w:color="auto" w:fill="D9D9D9" w:themeFill="background1" w:themeFillShade="D9"/>
          </w:tcPr>
          <w:p w:rsidR="005009DA" w:rsidRPr="00B53A3D" w:rsidRDefault="005009DA" w:rsidP="00F001A5">
            <w:pPr>
              <w:pStyle w:val="NoSpacing"/>
              <w:rPr>
                <w:b/>
                <w:sz w:val="16"/>
                <w:szCs w:val="16"/>
              </w:rPr>
            </w:pPr>
          </w:p>
        </w:tc>
        <w:tc>
          <w:tcPr>
            <w:tcW w:w="1440" w:type="dxa"/>
            <w:tcBorders>
              <w:left w:val="nil"/>
              <w:right w:val="nil"/>
            </w:tcBorders>
            <w:shd w:val="clear" w:color="auto" w:fill="D9D9D9" w:themeFill="background1" w:themeFillShade="D9"/>
          </w:tcPr>
          <w:p w:rsidR="005009DA" w:rsidRPr="00B53A3D" w:rsidRDefault="005009DA" w:rsidP="00B53A3D">
            <w:pPr>
              <w:pStyle w:val="NoSpacing"/>
              <w:jc w:val="center"/>
              <w:rPr>
                <w:b/>
                <w:sz w:val="16"/>
                <w:szCs w:val="16"/>
              </w:rPr>
            </w:pPr>
            <w:r>
              <w:rPr>
                <w:b/>
                <w:sz w:val="16"/>
                <w:szCs w:val="16"/>
              </w:rPr>
              <w:t>CCH</w:t>
            </w:r>
            <w:r w:rsidRPr="00B53A3D">
              <w:rPr>
                <w:b/>
                <w:sz w:val="16"/>
                <w:szCs w:val="16"/>
              </w:rPr>
              <w:t xml:space="preserve"> (n=551)</w:t>
            </w:r>
          </w:p>
        </w:tc>
        <w:tc>
          <w:tcPr>
            <w:tcW w:w="1440" w:type="dxa"/>
            <w:tcBorders>
              <w:left w:val="nil"/>
              <w:right w:val="nil"/>
            </w:tcBorders>
            <w:shd w:val="clear" w:color="auto" w:fill="D9D9D9" w:themeFill="background1" w:themeFillShade="D9"/>
          </w:tcPr>
          <w:p w:rsidR="005009DA" w:rsidRPr="00B53A3D" w:rsidRDefault="005009DA" w:rsidP="00B53A3D">
            <w:pPr>
              <w:pStyle w:val="NoSpacing"/>
              <w:jc w:val="center"/>
              <w:rPr>
                <w:b/>
                <w:sz w:val="16"/>
                <w:szCs w:val="16"/>
              </w:rPr>
            </w:pPr>
            <w:r w:rsidRPr="00B53A3D">
              <w:rPr>
                <w:b/>
                <w:sz w:val="16"/>
                <w:szCs w:val="16"/>
              </w:rPr>
              <w:t>Placebo (n=281)</w:t>
            </w:r>
          </w:p>
        </w:tc>
      </w:tr>
      <w:tr w:rsidR="005009DA" w:rsidRPr="007B6317" w:rsidTr="008A233D">
        <w:tc>
          <w:tcPr>
            <w:tcW w:w="2358" w:type="dxa"/>
            <w:tcBorders>
              <w:left w:val="nil"/>
              <w:right w:val="nil"/>
            </w:tcBorders>
          </w:tcPr>
          <w:p w:rsidR="005009DA" w:rsidRPr="007B6317" w:rsidRDefault="005009DA" w:rsidP="00F001A5">
            <w:pPr>
              <w:pStyle w:val="NoSpacing"/>
              <w:rPr>
                <w:sz w:val="16"/>
                <w:szCs w:val="16"/>
              </w:rPr>
            </w:pPr>
            <w:r>
              <w:rPr>
                <w:sz w:val="16"/>
                <w:szCs w:val="16"/>
              </w:rPr>
              <w:t xml:space="preserve">All </w:t>
            </w:r>
            <w:proofErr w:type="spellStart"/>
            <w:r>
              <w:rPr>
                <w:sz w:val="16"/>
                <w:szCs w:val="16"/>
              </w:rPr>
              <w:t>tx</w:t>
            </w:r>
            <w:proofErr w:type="spellEnd"/>
            <w:r>
              <w:rPr>
                <w:sz w:val="16"/>
                <w:szCs w:val="16"/>
              </w:rPr>
              <w:t>-related AEs local to penis/groin</w:t>
            </w:r>
          </w:p>
        </w:tc>
        <w:tc>
          <w:tcPr>
            <w:tcW w:w="1440" w:type="dxa"/>
            <w:tcBorders>
              <w:left w:val="nil"/>
              <w:right w:val="nil"/>
            </w:tcBorders>
            <w:vAlign w:val="center"/>
          </w:tcPr>
          <w:p w:rsidR="005009DA" w:rsidRPr="007B6317" w:rsidRDefault="005009DA" w:rsidP="00CD3360">
            <w:pPr>
              <w:pStyle w:val="NoSpacing"/>
              <w:jc w:val="center"/>
              <w:rPr>
                <w:sz w:val="16"/>
                <w:szCs w:val="16"/>
              </w:rPr>
            </w:pPr>
            <w:r>
              <w:rPr>
                <w:sz w:val="16"/>
                <w:szCs w:val="16"/>
              </w:rPr>
              <w:t>84.2</w:t>
            </w:r>
          </w:p>
        </w:tc>
        <w:tc>
          <w:tcPr>
            <w:tcW w:w="1440" w:type="dxa"/>
            <w:tcBorders>
              <w:left w:val="nil"/>
              <w:right w:val="nil"/>
            </w:tcBorders>
            <w:vAlign w:val="center"/>
          </w:tcPr>
          <w:p w:rsidR="005009DA" w:rsidRPr="007B6317" w:rsidRDefault="005009DA" w:rsidP="00CD3360">
            <w:pPr>
              <w:pStyle w:val="NoSpacing"/>
              <w:jc w:val="center"/>
              <w:rPr>
                <w:sz w:val="16"/>
                <w:szCs w:val="16"/>
              </w:rPr>
            </w:pPr>
            <w:r>
              <w:rPr>
                <w:sz w:val="16"/>
                <w:szCs w:val="16"/>
              </w:rPr>
              <w:t>36.3</w:t>
            </w:r>
          </w:p>
        </w:tc>
      </w:tr>
      <w:tr w:rsidR="005009DA" w:rsidRPr="007B6317" w:rsidTr="008A233D">
        <w:tc>
          <w:tcPr>
            <w:tcW w:w="2358" w:type="dxa"/>
            <w:tcBorders>
              <w:left w:val="nil"/>
              <w:right w:val="nil"/>
            </w:tcBorders>
          </w:tcPr>
          <w:p w:rsidR="005009DA" w:rsidRPr="007B6317" w:rsidRDefault="005009DA" w:rsidP="00F001A5">
            <w:pPr>
              <w:pStyle w:val="NoSpacing"/>
              <w:rPr>
                <w:sz w:val="16"/>
                <w:szCs w:val="16"/>
              </w:rPr>
            </w:pPr>
            <w:r>
              <w:rPr>
                <w:sz w:val="16"/>
                <w:szCs w:val="16"/>
              </w:rPr>
              <w:t>Penile hematoma</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65.5</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19.2</w:t>
            </w:r>
          </w:p>
        </w:tc>
      </w:tr>
      <w:tr w:rsidR="005009DA" w:rsidRPr="007B6317" w:rsidTr="008A233D">
        <w:tc>
          <w:tcPr>
            <w:tcW w:w="2358" w:type="dxa"/>
            <w:tcBorders>
              <w:left w:val="nil"/>
              <w:right w:val="nil"/>
            </w:tcBorders>
          </w:tcPr>
          <w:p w:rsidR="005009DA" w:rsidRPr="007B6317" w:rsidRDefault="005009DA" w:rsidP="00F001A5">
            <w:pPr>
              <w:pStyle w:val="NoSpacing"/>
              <w:rPr>
                <w:sz w:val="16"/>
                <w:szCs w:val="16"/>
              </w:rPr>
            </w:pPr>
            <w:r>
              <w:rPr>
                <w:sz w:val="16"/>
                <w:szCs w:val="16"/>
              </w:rPr>
              <w:t>Penile swelling</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55</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3.2</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Penile pain</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45.4</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9.3</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Penile ecchymosis</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14.5</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6.8</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Blood blister</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4.5</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Penile blister</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3.3</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Pruritus genital</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3.1</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Painful erection</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2.9</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Erectile dysfunction</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1.8</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0.4</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Skin discoloration</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1.8</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Procedural pain</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1.6</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0.7</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Injection site vesicles</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1.3</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Localized edema</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1.3</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Dyspareunia</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1.1</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Injection site pruritus</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1.1</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Nodule</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1.1</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r w:rsidR="005009DA" w:rsidRPr="007B6317" w:rsidTr="008A233D">
        <w:tc>
          <w:tcPr>
            <w:tcW w:w="2358" w:type="dxa"/>
            <w:tcBorders>
              <w:left w:val="nil"/>
              <w:right w:val="nil"/>
            </w:tcBorders>
          </w:tcPr>
          <w:p w:rsidR="005009DA" w:rsidRDefault="005009DA" w:rsidP="00F001A5">
            <w:pPr>
              <w:pStyle w:val="NoSpacing"/>
              <w:rPr>
                <w:sz w:val="16"/>
                <w:szCs w:val="16"/>
              </w:rPr>
            </w:pPr>
            <w:r>
              <w:rPr>
                <w:sz w:val="16"/>
                <w:szCs w:val="16"/>
              </w:rPr>
              <w:t>Injection site pain</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1.1</w:t>
            </w:r>
          </w:p>
        </w:tc>
        <w:tc>
          <w:tcPr>
            <w:tcW w:w="1440" w:type="dxa"/>
            <w:tcBorders>
              <w:left w:val="nil"/>
              <w:right w:val="nil"/>
            </w:tcBorders>
          </w:tcPr>
          <w:p w:rsidR="005009DA" w:rsidRPr="007B6317" w:rsidRDefault="005009DA" w:rsidP="00B53A3D">
            <w:pPr>
              <w:pStyle w:val="NoSpacing"/>
              <w:jc w:val="center"/>
              <w:rPr>
                <w:sz w:val="16"/>
                <w:szCs w:val="16"/>
              </w:rPr>
            </w:pPr>
            <w:r>
              <w:rPr>
                <w:sz w:val="16"/>
                <w:szCs w:val="16"/>
              </w:rPr>
              <w:t>0</w:t>
            </w:r>
          </w:p>
        </w:tc>
      </w:tr>
    </w:tbl>
    <w:p w:rsidR="007B6317" w:rsidRPr="00B53A3D" w:rsidRDefault="00B53A3D" w:rsidP="00F001A5">
      <w:pPr>
        <w:pStyle w:val="NoSpacing"/>
        <w:rPr>
          <w:sz w:val="16"/>
          <w:szCs w:val="16"/>
        </w:rPr>
      </w:pPr>
      <w:r>
        <w:rPr>
          <w:sz w:val="16"/>
          <w:szCs w:val="16"/>
        </w:rPr>
        <w:t>Data obtained from product package insert</w:t>
      </w:r>
    </w:p>
    <w:p w:rsidR="008A67F1" w:rsidRDefault="008A67F1" w:rsidP="00F95808">
      <w:pPr>
        <w:pStyle w:val="NoSpacing"/>
        <w:rPr>
          <w:rFonts w:ascii="Times New Roman" w:hAnsi="Times New Roman" w:cs="Times New Roman"/>
          <w:i/>
          <w:sz w:val="20"/>
          <w:szCs w:val="20"/>
          <w:u w:val="single"/>
        </w:rPr>
      </w:pPr>
    </w:p>
    <w:p w:rsidR="00F95808" w:rsidRPr="00112FD1" w:rsidRDefault="00F95808" w:rsidP="00F95808">
      <w:pPr>
        <w:pStyle w:val="NoSpacing"/>
        <w:rPr>
          <w:i/>
          <w:u w:val="single"/>
        </w:rPr>
      </w:pPr>
      <w:r w:rsidRPr="00112FD1">
        <w:rPr>
          <w:rFonts w:ascii="Times New Roman" w:hAnsi="Times New Roman" w:cs="Times New Roman"/>
          <w:i/>
          <w:sz w:val="20"/>
          <w:szCs w:val="20"/>
          <w:u w:val="single"/>
        </w:rPr>
        <w:t>Serious Adverse Events (SAEs)</w:t>
      </w:r>
    </w:p>
    <w:p w:rsidR="00F95808" w:rsidRDefault="00F95808" w:rsidP="00F95808">
      <w:pPr>
        <w:pStyle w:val="NoSpacing"/>
        <w:rPr>
          <w:rFonts w:ascii="Times New Roman" w:hAnsi="Times New Roman" w:cs="Times New Roman"/>
          <w:sz w:val="20"/>
          <w:szCs w:val="20"/>
        </w:rPr>
      </w:pPr>
      <w:r>
        <w:rPr>
          <w:rFonts w:ascii="Times New Roman" w:hAnsi="Times New Roman" w:cs="Times New Roman"/>
          <w:sz w:val="20"/>
          <w:szCs w:val="20"/>
        </w:rPr>
        <w:t>In the 52-week trials, there were 6 SAEs; corporeal rupture (n=3) and penile hematoma (n=3).  One penile hematoma resolved without intervention, one resolved with aspiration, and one was successfully treated with surgery.  The 3 corporeal ruptures were successfully treated with surgery.</w:t>
      </w:r>
    </w:p>
    <w:p w:rsidR="00F95808" w:rsidRDefault="00F95808" w:rsidP="00F95808">
      <w:pPr>
        <w:pStyle w:val="NoSpacing"/>
        <w:rPr>
          <w:rFonts w:ascii="Times New Roman" w:hAnsi="Times New Roman" w:cs="Times New Roman"/>
          <w:sz w:val="20"/>
          <w:szCs w:val="20"/>
        </w:rPr>
      </w:pPr>
    </w:p>
    <w:p w:rsidR="00F95808" w:rsidRPr="00112FD1" w:rsidRDefault="00F95808" w:rsidP="00F95808">
      <w:pPr>
        <w:pStyle w:val="NoSpacing"/>
        <w:rPr>
          <w:rFonts w:ascii="Times New Roman" w:hAnsi="Times New Roman" w:cs="Times New Roman"/>
          <w:sz w:val="20"/>
          <w:szCs w:val="20"/>
        </w:rPr>
      </w:pPr>
      <w:r>
        <w:rPr>
          <w:rFonts w:ascii="Times New Roman" w:hAnsi="Times New Roman" w:cs="Times New Roman"/>
          <w:sz w:val="20"/>
          <w:szCs w:val="20"/>
        </w:rPr>
        <w:lastRenderedPageBreak/>
        <w:t>In the larger database of controlled and uncontrolled clinical trials, corporeal rupture was reported in 5/1044 (0.5%) and severe penile hematoma in 39/1044 (3.7%) of patients.</w:t>
      </w:r>
    </w:p>
    <w:p w:rsidR="00B53A3D" w:rsidRDefault="00B53A3D" w:rsidP="00F001A5">
      <w:pPr>
        <w:pStyle w:val="NoSpacing"/>
        <w:rPr>
          <w:b/>
        </w:rPr>
      </w:pPr>
    </w:p>
    <w:p w:rsidR="0029576A" w:rsidRPr="00604F1C" w:rsidRDefault="0029576A" w:rsidP="0029576A">
      <w:pPr>
        <w:pStyle w:val="NoSpacing"/>
        <w:rPr>
          <w:rFonts w:ascii="Times New Roman" w:hAnsi="Times New Roman" w:cs="Times New Roman"/>
          <w:i/>
          <w:sz w:val="20"/>
          <w:szCs w:val="20"/>
          <w:u w:val="single"/>
        </w:rPr>
      </w:pPr>
      <w:r w:rsidRPr="00604F1C">
        <w:rPr>
          <w:rFonts w:ascii="Times New Roman" w:hAnsi="Times New Roman" w:cs="Times New Roman"/>
          <w:i/>
          <w:sz w:val="20"/>
          <w:szCs w:val="20"/>
          <w:u w:val="single"/>
        </w:rPr>
        <w:t>AUX-I and II antibodies</w:t>
      </w:r>
    </w:p>
    <w:p w:rsidR="0029576A" w:rsidRPr="00604F1C" w:rsidRDefault="0029576A" w:rsidP="0029576A">
      <w:pPr>
        <w:pStyle w:val="NoSpacing"/>
        <w:rPr>
          <w:rFonts w:ascii="Times New Roman" w:hAnsi="Times New Roman" w:cs="Times New Roman"/>
          <w:sz w:val="20"/>
          <w:szCs w:val="20"/>
        </w:rPr>
      </w:pPr>
      <w:r>
        <w:rPr>
          <w:rFonts w:ascii="Times New Roman" w:hAnsi="Times New Roman" w:cs="Times New Roman"/>
          <w:sz w:val="20"/>
          <w:szCs w:val="20"/>
        </w:rPr>
        <w:t xml:space="preserve">After the first treatment cycle, </w:t>
      </w:r>
      <w:r w:rsidR="001F3D4C">
        <w:rPr>
          <w:rFonts w:ascii="Times New Roman" w:hAnsi="Times New Roman" w:cs="Times New Roman"/>
          <w:sz w:val="20"/>
          <w:szCs w:val="20"/>
        </w:rPr>
        <w:t xml:space="preserve">75% </w:t>
      </w:r>
      <w:r>
        <w:rPr>
          <w:rFonts w:ascii="Times New Roman" w:hAnsi="Times New Roman" w:cs="Times New Roman"/>
          <w:sz w:val="20"/>
          <w:szCs w:val="20"/>
        </w:rPr>
        <w:t xml:space="preserve">and </w:t>
      </w:r>
      <w:r w:rsidR="001F3D4C">
        <w:rPr>
          <w:rFonts w:ascii="Times New Roman" w:hAnsi="Times New Roman" w:cs="Times New Roman"/>
          <w:sz w:val="20"/>
          <w:szCs w:val="20"/>
        </w:rPr>
        <w:t>53.4%</w:t>
      </w:r>
      <w:r>
        <w:rPr>
          <w:rFonts w:ascii="Times New Roman" w:hAnsi="Times New Roman" w:cs="Times New Roman"/>
          <w:sz w:val="20"/>
          <w:szCs w:val="20"/>
        </w:rPr>
        <w:t xml:space="preserve"> of </w:t>
      </w:r>
      <w:r w:rsidR="00E719A8">
        <w:rPr>
          <w:rFonts w:ascii="Times New Roman" w:hAnsi="Times New Roman" w:cs="Times New Roman"/>
          <w:sz w:val="20"/>
          <w:szCs w:val="20"/>
        </w:rPr>
        <w:t>CCH</w:t>
      </w:r>
      <w:r>
        <w:rPr>
          <w:rFonts w:ascii="Times New Roman" w:hAnsi="Times New Roman" w:cs="Times New Roman"/>
          <w:sz w:val="20"/>
          <w:szCs w:val="20"/>
        </w:rPr>
        <w:t xml:space="preserve">-treated patients had positive AUX-1 and AUX-II antibodies respectively.  By week 52, </w:t>
      </w:r>
      <w:r w:rsidR="001F3D4C">
        <w:rPr>
          <w:rFonts w:ascii="Times New Roman" w:hAnsi="Times New Roman" w:cs="Times New Roman"/>
          <w:sz w:val="20"/>
          <w:szCs w:val="20"/>
        </w:rPr>
        <w:t xml:space="preserve">approximately 99% </w:t>
      </w:r>
      <w:r>
        <w:rPr>
          <w:rFonts w:ascii="Times New Roman" w:hAnsi="Times New Roman" w:cs="Times New Roman"/>
          <w:sz w:val="20"/>
          <w:szCs w:val="20"/>
        </w:rPr>
        <w:t>of patients were positive for AUX-I and II antibodies respectively. There were no systemic immunologic events reported.</w:t>
      </w:r>
    </w:p>
    <w:p w:rsidR="0029576A" w:rsidRDefault="0029576A" w:rsidP="00F001A5">
      <w:pPr>
        <w:pStyle w:val="NoSpacing"/>
        <w:rPr>
          <w:b/>
        </w:rPr>
      </w:pPr>
    </w:p>
    <w:p w:rsidR="003D2017" w:rsidRPr="00CE7986" w:rsidRDefault="003D2017" w:rsidP="00F001A5">
      <w:pPr>
        <w:pStyle w:val="NoSpacing"/>
        <w:rPr>
          <w:b/>
          <w:u w:val="single"/>
        </w:rPr>
      </w:pPr>
      <w:r w:rsidRPr="00CE7986">
        <w:rPr>
          <w:b/>
          <w:u w:val="single"/>
        </w:rPr>
        <w:t>Contraindications</w:t>
      </w:r>
    </w:p>
    <w:p w:rsidR="003D2017" w:rsidRDefault="00B56BD8" w:rsidP="00B56BD8">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Treatment of Peyronie’s plaques that involve the penile urethra due to potential risk to the urethra</w:t>
      </w:r>
    </w:p>
    <w:p w:rsidR="00B56BD8" w:rsidRPr="003D2017" w:rsidRDefault="00B56BD8" w:rsidP="00B56BD8">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History of</w:t>
      </w:r>
      <w:r w:rsidR="00E719A8">
        <w:rPr>
          <w:rFonts w:ascii="Times New Roman" w:hAnsi="Times New Roman" w:cs="Times New Roman"/>
          <w:sz w:val="20"/>
          <w:szCs w:val="20"/>
        </w:rPr>
        <w:t xml:space="preserve"> severe allergic reaction to CCH</w:t>
      </w:r>
    </w:p>
    <w:p w:rsidR="00B56BD8" w:rsidRDefault="00B56BD8" w:rsidP="00F001A5">
      <w:pPr>
        <w:pStyle w:val="NoSpacing"/>
      </w:pPr>
    </w:p>
    <w:p w:rsidR="00B56BD8" w:rsidRPr="00CE7986" w:rsidRDefault="00B56BD8" w:rsidP="00F001A5">
      <w:pPr>
        <w:pStyle w:val="NoSpacing"/>
        <w:rPr>
          <w:b/>
          <w:u w:val="single"/>
        </w:rPr>
      </w:pPr>
      <w:r w:rsidRPr="00CE7986">
        <w:rPr>
          <w:b/>
          <w:u w:val="single"/>
        </w:rPr>
        <w:t>Warnings and Precautions</w:t>
      </w:r>
    </w:p>
    <w:p w:rsidR="00090FD0" w:rsidRDefault="00B56BD8" w:rsidP="00090FD0">
      <w:pPr>
        <w:pStyle w:val="NoSpacing"/>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Corporal rupture (penile fracture) was reported in 5/1044 (0.5%) of patients in controlled and uncontrolled clinical trials.  </w:t>
      </w:r>
    </w:p>
    <w:p w:rsidR="00B56BD8" w:rsidRDefault="00E719A8" w:rsidP="00090FD0">
      <w:pPr>
        <w:pStyle w:val="NoSpacing"/>
        <w:numPr>
          <w:ilvl w:val="0"/>
          <w:numId w:val="3"/>
        </w:numPr>
        <w:ind w:left="360"/>
        <w:rPr>
          <w:rFonts w:ascii="Times New Roman" w:hAnsi="Times New Roman" w:cs="Times New Roman"/>
          <w:sz w:val="20"/>
          <w:szCs w:val="20"/>
        </w:rPr>
      </w:pPr>
      <w:r>
        <w:rPr>
          <w:rFonts w:ascii="Times New Roman" w:hAnsi="Times New Roman" w:cs="Times New Roman"/>
          <w:sz w:val="20"/>
          <w:szCs w:val="20"/>
        </w:rPr>
        <w:t>In 9/1044 (0.9%) of CCH</w:t>
      </w:r>
      <w:r w:rsidR="00B56BD8">
        <w:rPr>
          <w:rFonts w:ascii="Times New Roman" w:hAnsi="Times New Roman" w:cs="Times New Roman"/>
          <w:sz w:val="20"/>
          <w:szCs w:val="20"/>
        </w:rPr>
        <w:t xml:space="preserve">-treated patients, a combination of penile </w:t>
      </w:r>
      <w:r w:rsidR="006B4214">
        <w:rPr>
          <w:rFonts w:ascii="Times New Roman" w:hAnsi="Times New Roman" w:cs="Times New Roman"/>
          <w:sz w:val="20"/>
          <w:szCs w:val="20"/>
        </w:rPr>
        <w:t>ecchymosis</w:t>
      </w:r>
      <w:r w:rsidR="00B56BD8">
        <w:rPr>
          <w:rFonts w:ascii="Times New Roman" w:hAnsi="Times New Roman" w:cs="Times New Roman"/>
          <w:sz w:val="20"/>
          <w:szCs w:val="20"/>
        </w:rPr>
        <w:t xml:space="preserve"> or hematoma, sudden penile </w:t>
      </w:r>
      <w:proofErr w:type="spellStart"/>
      <w:r w:rsidR="00B56BD8">
        <w:rPr>
          <w:rFonts w:ascii="Times New Roman" w:hAnsi="Times New Roman" w:cs="Times New Roman"/>
          <w:sz w:val="20"/>
          <w:szCs w:val="20"/>
        </w:rPr>
        <w:t>detumescence</w:t>
      </w:r>
      <w:proofErr w:type="spellEnd"/>
      <w:r w:rsidR="00B56BD8">
        <w:rPr>
          <w:rFonts w:ascii="Times New Roman" w:hAnsi="Times New Roman" w:cs="Times New Roman"/>
          <w:sz w:val="20"/>
          <w:szCs w:val="20"/>
        </w:rPr>
        <w:t xml:space="preserve">, and /or a penile popping sound or sensation was reported, and in these cases, a diagnosis of corporal rupture cannot be excluded.  These patients were managed without surgical intervention; however, long-term consequences are unknown.  </w:t>
      </w:r>
    </w:p>
    <w:p w:rsidR="00B56BD8" w:rsidRDefault="00B56BD8" w:rsidP="00090FD0">
      <w:pPr>
        <w:pStyle w:val="NoSpacing"/>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Severe penile hematoma was reported in 39/1044 (3.7%) of </w:t>
      </w:r>
      <w:r w:rsidR="00090FD0">
        <w:rPr>
          <w:rFonts w:ascii="Times New Roman" w:hAnsi="Times New Roman" w:cs="Times New Roman"/>
          <w:sz w:val="20"/>
          <w:szCs w:val="20"/>
        </w:rPr>
        <w:t>patients.</w:t>
      </w:r>
    </w:p>
    <w:p w:rsidR="00090FD0" w:rsidRDefault="00090FD0" w:rsidP="00090FD0">
      <w:pPr>
        <w:pStyle w:val="NoSpacing"/>
        <w:numPr>
          <w:ilvl w:val="0"/>
          <w:numId w:val="3"/>
        </w:numPr>
        <w:ind w:left="360"/>
        <w:rPr>
          <w:rFonts w:ascii="Times New Roman" w:hAnsi="Times New Roman" w:cs="Times New Roman"/>
          <w:sz w:val="20"/>
          <w:szCs w:val="20"/>
        </w:rPr>
      </w:pPr>
      <w:r>
        <w:rPr>
          <w:rFonts w:ascii="Times New Roman" w:hAnsi="Times New Roman" w:cs="Times New Roman"/>
          <w:sz w:val="20"/>
          <w:szCs w:val="20"/>
        </w:rPr>
        <w:t>Prompt evaluation is necessary in patients who have signs or symptoms that may reflect serious injury to the penis in order to assess for corporal rupture or severe penile hematoma, which may require surgical intervention.</w:t>
      </w:r>
    </w:p>
    <w:p w:rsidR="00741465" w:rsidRDefault="00E719A8" w:rsidP="00090FD0">
      <w:pPr>
        <w:pStyle w:val="NoSpacing"/>
        <w:numPr>
          <w:ilvl w:val="0"/>
          <w:numId w:val="3"/>
        </w:numPr>
        <w:ind w:left="360"/>
        <w:rPr>
          <w:rFonts w:ascii="Times New Roman" w:hAnsi="Times New Roman" w:cs="Times New Roman"/>
          <w:sz w:val="20"/>
          <w:szCs w:val="20"/>
        </w:rPr>
      </w:pPr>
      <w:r>
        <w:rPr>
          <w:rFonts w:ascii="Times New Roman" w:hAnsi="Times New Roman" w:cs="Times New Roman"/>
          <w:sz w:val="20"/>
          <w:szCs w:val="20"/>
        </w:rPr>
        <w:t>Injection of CCH</w:t>
      </w:r>
      <w:r w:rsidR="00090FD0" w:rsidRPr="00741465">
        <w:rPr>
          <w:rFonts w:ascii="Times New Roman" w:hAnsi="Times New Roman" w:cs="Times New Roman"/>
          <w:sz w:val="20"/>
          <w:szCs w:val="20"/>
        </w:rPr>
        <w:t xml:space="preserve"> into collagen-containing structures such as the corpora cavernosa of the penis may result in damage and possible injury such as corpora</w:t>
      </w:r>
      <w:r>
        <w:rPr>
          <w:rFonts w:ascii="Times New Roman" w:hAnsi="Times New Roman" w:cs="Times New Roman"/>
          <w:sz w:val="20"/>
          <w:szCs w:val="20"/>
        </w:rPr>
        <w:t>l rupture.  Therefore inject CCH</w:t>
      </w:r>
      <w:r w:rsidR="00090FD0" w:rsidRPr="00741465">
        <w:rPr>
          <w:rFonts w:ascii="Times New Roman" w:hAnsi="Times New Roman" w:cs="Times New Roman"/>
          <w:sz w:val="20"/>
          <w:szCs w:val="20"/>
        </w:rPr>
        <w:t xml:space="preserve"> only into the Peyronie’s plaque; care should be taken to avoid injecting into the urethra, nerves, blood vessels, corpora cavernosa or other collagen-containing structures of the penis.</w:t>
      </w:r>
    </w:p>
    <w:p w:rsidR="00741465" w:rsidRPr="00741465" w:rsidRDefault="00741465" w:rsidP="00741465">
      <w:pPr>
        <w:pStyle w:val="NoSpacing"/>
        <w:rPr>
          <w:rFonts w:ascii="Times New Roman" w:hAnsi="Times New Roman" w:cs="Times New Roman"/>
          <w:sz w:val="20"/>
          <w:szCs w:val="20"/>
        </w:rPr>
      </w:pPr>
    </w:p>
    <w:p w:rsidR="001B1842" w:rsidRPr="00741465" w:rsidRDefault="00E719A8" w:rsidP="00090FD0">
      <w:pPr>
        <w:pStyle w:val="NoSpacing"/>
        <w:numPr>
          <w:ilvl w:val="0"/>
          <w:numId w:val="3"/>
        </w:numPr>
        <w:ind w:left="360"/>
        <w:rPr>
          <w:rFonts w:ascii="Times New Roman" w:hAnsi="Times New Roman" w:cs="Times New Roman"/>
          <w:sz w:val="20"/>
          <w:szCs w:val="20"/>
        </w:rPr>
      </w:pPr>
      <w:r>
        <w:rPr>
          <w:rFonts w:ascii="Times New Roman" w:hAnsi="Times New Roman" w:cs="Times New Roman"/>
          <w:sz w:val="20"/>
          <w:szCs w:val="20"/>
        </w:rPr>
        <w:t>Because of these risk, CCH</w:t>
      </w:r>
      <w:r w:rsidR="001B1842" w:rsidRPr="00741465">
        <w:rPr>
          <w:rFonts w:ascii="Times New Roman" w:hAnsi="Times New Roman" w:cs="Times New Roman"/>
          <w:sz w:val="20"/>
          <w:szCs w:val="20"/>
        </w:rPr>
        <w:t xml:space="preserve"> is available only through the </w:t>
      </w:r>
      <w:r w:rsidR="001B1842" w:rsidRPr="00741465">
        <w:rPr>
          <w:rFonts w:ascii="Times New Roman" w:hAnsi="Times New Roman" w:cs="Times New Roman"/>
          <w:b/>
          <w:sz w:val="20"/>
          <w:szCs w:val="20"/>
        </w:rPr>
        <w:t>XIAFLEX REMS Program</w:t>
      </w:r>
    </w:p>
    <w:p w:rsidR="001B1842" w:rsidRDefault="001B1842" w:rsidP="001B1842">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Prescribers must be certified by enrolling and completing train</w:t>
      </w:r>
      <w:r w:rsidR="00E719A8">
        <w:rPr>
          <w:rFonts w:ascii="Times New Roman" w:hAnsi="Times New Roman" w:cs="Times New Roman"/>
          <w:sz w:val="20"/>
          <w:szCs w:val="20"/>
        </w:rPr>
        <w:t>ing in the administration of CCH</w:t>
      </w:r>
      <w:r>
        <w:rPr>
          <w:rFonts w:ascii="Times New Roman" w:hAnsi="Times New Roman" w:cs="Times New Roman"/>
          <w:sz w:val="20"/>
          <w:szCs w:val="20"/>
        </w:rPr>
        <w:t xml:space="preserve"> treatment for Peyronie’s disease</w:t>
      </w:r>
    </w:p>
    <w:p w:rsidR="001B1842" w:rsidRDefault="001B1842" w:rsidP="001B1842">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Healthcare sites must be certifie</w:t>
      </w:r>
      <w:r w:rsidR="00E719A8">
        <w:rPr>
          <w:rFonts w:ascii="Times New Roman" w:hAnsi="Times New Roman" w:cs="Times New Roman"/>
          <w:sz w:val="20"/>
          <w:szCs w:val="20"/>
        </w:rPr>
        <w:t>d with the program to ensure CCH</w:t>
      </w:r>
      <w:r>
        <w:rPr>
          <w:rFonts w:ascii="Times New Roman" w:hAnsi="Times New Roman" w:cs="Times New Roman"/>
          <w:sz w:val="20"/>
          <w:szCs w:val="20"/>
        </w:rPr>
        <w:t xml:space="preserve"> is only dispensed for use by certified prescribers</w:t>
      </w:r>
    </w:p>
    <w:p w:rsidR="00B1588F" w:rsidRDefault="00B1588F" w:rsidP="00B1588F">
      <w:pPr>
        <w:pStyle w:val="NoSpacing"/>
        <w:rPr>
          <w:rFonts w:ascii="Times New Roman" w:hAnsi="Times New Roman" w:cs="Times New Roman"/>
          <w:sz w:val="20"/>
          <w:szCs w:val="20"/>
        </w:rPr>
      </w:pPr>
    </w:p>
    <w:p w:rsidR="00B1588F" w:rsidRDefault="00B1588F" w:rsidP="00D6019F">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In</w:t>
      </w:r>
      <w:r w:rsidR="002B2B5B">
        <w:rPr>
          <w:rFonts w:ascii="Times New Roman" w:hAnsi="Times New Roman" w:cs="Times New Roman"/>
          <w:sz w:val="20"/>
          <w:szCs w:val="20"/>
        </w:rPr>
        <w:t xml:space="preserve"> the 2 Phase 3 trials, 4% of CC</w:t>
      </w:r>
      <w:r w:rsidR="00E719A8">
        <w:rPr>
          <w:rFonts w:ascii="Times New Roman" w:hAnsi="Times New Roman" w:cs="Times New Roman"/>
          <w:sz w:val="20"/>
          <w:szCs w:val="20"/>
        </w:rPr>
        <w:t>H</w:t>
      </w:r>
      <w:r>
        <w:rPr>
          <w:rFonts w:ascii="Times New Roman" w:hAnsi="Times New Roman" w:cs="Times New Roman"/>
          <w:sz w:val="20"/>
          <w:szCs w:val="20"/>
        </w:rPr>
        <w:t xml:space="preserve">-treated versus 1% of placebo-treated patients had localized pruritus after up to 4 treatment cycles (involving up to 8 injection procedures).  The incidence of pruritus was similar after each injection regardless of the number of injections administered.  There is 1 </w:t>
      </w:r>
      <w:r w:rsidR="00D6019F">
        <w:rPr>
          <w:rFonts w:ascii="Times New Roman" w:hAnsi="Times New Roman" w:cs="Times New Roman"/>
          <w:sz w:val="20"/>
          <w:szCs w:val="20"/>
        </w:rPr>
        <w:t xml:space="preserve">report of an anaphylactic reaction in a </w:t>
      </w:r>
      <w:r>
        <w:rPr>
          <w:rFonts w:ascii="Times New Roman" w:hAnsi="Times New Roman" w:cs="Times New Roman"/>
          <w:sz w:val="20"/>
          <w:szCs w:val="20"/>
        </w:rPr>
        <w:t xml:space="preserve">post-marketing </w:t>
      </w:r>
      <w:r w:rsidR="00D6019F">
        <w:rPr>
          <w:rFonts w:ascii="Times New Roman" w:hAnsi="Times New Roman" w:cs="Times New Roman"/>
          <w:sz w:val="20"/>
          <w:szCs w:val="20"/>
        </w:rPr>
        <w:t xml:space="preserve">clinical study in a patient </w:t>
      </w:r>
      <w:r w:rsidR="00E719A8">
        <w:rPr>
          <w:rFonts w:ascii="Times New Roman" w:hAnsi="Times New Roman" w:cs="Times New Roman"/>
          <w:sz w:val="20"/>
          <w:szCs w:val="20"/>
        </w:rPr>
        <w:t>who had previous exposure to CCH</w:t>
      </w:r>
      <w:r w:rsidR="00D6019F">
        <w:rPr>
          <w:rFonts w:ascii="Times New Roman" w:hAnsi="Times New Roman" w:cs="Times New Roman"/>
          <w:sz w:val="20"/>
          <w:szCs w:val="20"/>
        </w:rPr>
        <w:t xml:space="preserve"> for treatment of Dupuytren’s contracture.  Healthcare provides should be prepared to address severe </w:t>
      </w:r>
      <w:r w:rsidR="00E719A8">
        <w:rPr>
          <w:rFonts w:ascii="Times New Roman" w:hAnsi="Times New Roman" w:cs="Times New Roman"/>
          <w:sz w:val="20"/>
          <w:szCs w:val="20"/>
        </w:rPr>
        <w:t xml:space="preserve">allergic reactions following CCH </w:t>
      </w:r>
      <w:r w:rsidR="00D6019F">
        <w:rPr>
          <w:rFonts w:ascii="Times New Roman" w:hAnsi="Times New Roman" w:cs="Times New Roman"/>
          <w:sz w:val="20"/>
          <w:szCs w:val="20"/>
        </w:rPr>
        <w:t>administration.</w:t>
      </w:r>
    </w:p>
    <w:p w:rsidR="00D6019F" w:rsidRDefault="00D6019F" w:rsidP="00D6019F">
      <w:pPr>
        <w:pStyle w:val="NoSpacing"/>
        <w:rPr>
          <w:rFonts w:ascii="Times New Roman" w:hAnsi="Times New Roman" w:cs="Times New Roman"/>
          <w:sz w:val="20"/>
          <w:szCs w:val="20"/>
        </w:rPr>
      </w:pPr>
    </w:p>
    <w:p w:rsidR="00D6019F" w:rsidRPr="00B56BD8" w:rsidRDefault="00D6019F" w:rsidP="006B4214">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In th</w:t>
      </w:r>
      <w:r w:rsidR="002B2B5B">
        <w:rPr>
          <w:rFonts w:ascii="Times New Roman" w:hAnsi="Times New Roman" w:cs="Times New Roman"/>
          <w:sz w:val="20"/>
          <w:szCs w:val="20"/>
        </w:rPr>
        <w:t>e 2 Phase 3 trials, 65.5% of CC</w:t>
      </w:r>
      <w:r w:rsidR="00E719A8">
        <w:rPr>
          <w:rFonts w:ascii="Times New Roman" w:hAnsi="Times New Roman" w:cs="Times New Roman"/>
          <w:sz w:val="20"/>
          <w:szCs w:val="20"/>
        </w:rPr>
        <w:t>H</w:t>
      </w:r>
      <w:r>
        <w:rPr>
          <w:rFonts w:ascii="Times New Roman" w:hAnsi="Times New Roman" w:cs="Times New Roman"/>
          <w:sz w:val="20"/>
          <w:szCs w:val="20"/>
        </w:rPr>
        <w:t>-treated patients developed penile hematoma and 14.5% developed penile ecchymosis.  Patients with abnormal coagulation disorders or who were receiving anticoagulants (except for low-dose aspirin up to 150mg/day) were excluded from the clinical trials.</w:t>
      </w:r>
      <w:r w:rsidR="002B2B5B">
        <w:rPr>
          <w:rFonts w:ascii="Times New Roman" w:hAnsi="Times New Roman" w:cs="Times New Roman"/>
          <w:sz w:val="20"/>
          <w:szCs w:val="20"/>
        </w:rPr>
        <w:t xml:space="preserve">  The safety and efficacy of CC</w:t>
      </w:r>
      <w:r w:rsidR="00E719A8">
        <w:rPr>
          <w:rFonts w:ascii="Times New Roman" w:hAnsi="Times New Roman" w:cs="Times New Roman"/>
          <w:sz w:val="20"/>
          <w:szCs w:val="20"/>
        </w:rPr>
        <w:t>H</w:t>
      </w:r>
      <w:r>
        <w:rPr>
          <w:rFonts w:ascii="Times New Roman" w:hAnsi="Times New Roman" w:cs="Times New Roman"/>
          <w:sz w:val="20"/>
          <w:szCs w:val="20"/>
        </w:rPr>
        <w:t xml:space="preserve"> in patients receiving anticoagulant medications (other than low-dose asp</w:t>
      </w:r>
      <w:r w:rsidR="002B2B5B">
        <w:rPr>
          <w:rFonts w:ascii="Times New Roman" w:hAnsi="Times New Roman" w:cs="Times New Roman"/>
          <w:sz w:val="20"/>
          <w:szCs w:val="20"/>
        </w:rPr>
        <w:t>irin) within 7 days prior to CC</w:t>
      </w:r>
      <w:r w:rsidR="00E719A8">
        <w:rPr>
          <w:rFonts w:ascii="Times New Roman" w:hAnsi="Times New Roman" w:cs="Times New Roman"/>
          <w:sz w:val="20"/>
          <w:szCs w:val="20"/>
        </w:rPr>
        <w:t>H</w:t>
      </w:r>
      <w:r>
        <w:rPr>
          <w:rFonts w:ascii="Times New Roman" w:hAnsi="Times New Roman" w:cs="Times New Roman"/>
          <w:sz w:val="20"/>
          <w:szCs w:val="20"/>
        </w:rPr>
        <w:t xml:space="preserve"> administration is not known.</w:t>
      </w:r>
      <w:r w:rsidR="006B4214">
        <w:rPr>
          <w:rFonts w:ascii="Times New Roman" w:hAnsi="Times New Roman" w:cs="Times New Roman"/>
          <w:sz w:val="20"/>
          <w:szCs w:val="20"/>
        </w:rPr>
        <w:t xml:space="preserve">  Therefore, it is</w:t>
      </w:r>
      <w:r w:rsidR="00E719A8">
        <w:rPr>
          <w:rFonts w:ascii="Times New Roman" w:hAnsi="Times New Roman" w:cs="Times New Roman"/>
          <w:sz w:val="20"/>
          <w:szCs w:val="20"/>
        </w:rPr>
        <w:t xml:space="preserve"> recommended to avoid use of CCH</w:t>
      </w:r>
      <w:r w:rsidR="006B4214">
        <w:rPr>
          <w:rFonts w:ascii="Times New Roman" w:hAnsi="Times New Roman" w:cs="Times New Roman"/>
          <w:sz w:val="20"/>
          <w:szCs w:val="20"/>
        </w:rPr>
        <w:t xml:space="preserve"> in patients with coagulation disorders or receiving concomitant anticoagulants (except for low-dose aspirin)</w:t>
      </w:r>
    </w:p>
    <w:p w:rsidR="00B56BD8" w:rsidRDefault="00B56BD8" w:rsidP="00F001A5">
      <w:pPr>
        <w:pStyle w:val="NoSpacing"/>
        <w:rPr>
          <w:rFonts w:ascii="Times New Roman" w:hAnsi="Times New Roman" w:cs="Times New Roman"/>
          <w:sz w:val="20"/>
          <w:szCs w:val="20"/>
        </w:rPr>
      </w:pPr>
    </w:p>
    <w:p w:rsidR="00DD2BC8" w:rsidRPr="00CE7986" w:rsidRDefault="00DD2BC8" w:rsidP="00DD2BC8">
      <w:pPr>
        <w:pStyle w:val="NoSpacing"/>
        <w:rPr>
          <w:rFonts w:cs="Times New Roman"/>
          <w:b/>
          <w:u w:val="single"/>
        </w:rPr>
      </w:pPr>
      <w:r w:rsidRPr="00CE7986">
        <w:rPr>
          <w:rFonts w:cs="Times New Roman"/>
          <w:b/>
          <w:u w:val="single"/>
        </w:rPr>
        <w:t>Cost</w:t>
      </w:r>
    </w:p>
    <w:p w:rsidR="00780CF0" w:rsidRPr="00897036" w:rsidRDefault="00DD2BC8" w:rsidP="00780CF0">
      <w:pPr>
        <w:rPr>
          <w:sz w:val="20"/>
          <w:szCs w:val="20"/>
        </w:rPr>
      </w:pPr>
      <w:r w:rsidRPr="00A53991">
        <w:rPr>
          <w:rFonts w:ascii="Times New Roman" w:hAnsi="Times New Roman" w:cs="Times New Roman"/>
          <w:sz w:val="20"/>
          <w:szCs w:val="20"/>
        </w:rPr>
        <w:t xml:space="preserve">Please refer </w:t>
      </w:r>
      <w:r w:rsidR="00780CF0">
        <w:rPr>
          <w:rFonts w:ascii="Times New Roman" w:hAnsi="Times New Roman" w:cs="Times New Roman"/>
          <w:sz w:val="20"/>
          <w:szCs w:val="20"/>
        </w:rPr>
        <w:t xml:space="preserve">to VA </w:t>
      </w:r>
      <w:r w:rsidR="00780CF0" w:rsidRPr="00780CF0">
        <w:rPr>
          <w:rFonts w:ascii="Times New Roman" w:hAnsi="Times New Roman" w:cs="Times New Roman"/>
          <w:sz w:val="20"/>
          <w:szCs w:val="20"/>
        </w:rPr>
        <w:t>pricing sources for updated information.</w:t>
      </w:r>
    </w:p>
    <w:p w:rsidR="00F025F4" w:rsidRDefault="00F025F4" w:rsidP="00DD2BC8">
      <w:pPr>
        <w:pStyle w:val="NoSpacing"/>
        <w:rPr>
          <w:rFonts w:ascii="Times New Roman" w:hAnsi="Times New Roman" w:cs="Times New Roman"/>
          <w:sz w:val="20"/>
          <w:szCs w:val="20"/>
        </w:rPr>
      </w:pPr>
    </w:p>
    <w:p w:rsidR="00780CF0" w:rsidRDefault="00780CF0" w:rsidP="00F001A5">
      <w:pPr>
        <w:pStyle w:val="NoSpacing"/>
        <w:rPr>
          <w:rFonts w:cs="Times New Roman"/>
          <w:b/>
          <w:u w:val="single"/>
        </w:rPr>
      </w:pPr>
    </w:p>
    <w:p w:rsidR="00DD2BC8" w:rsidRPr="00651E7D" w:rsidRDefault="00651E7D" w:rsidP="00F001A5">
      <w:pPr>
        <w:pStyle w:val="NoSpacing"/>
        <w:rPr>
          <w:rFonts w:cs="Times New Roman"/>
          <w:b/>
          <w:u w:val="single"/>
        </w:rPr>
      </w:pPr>
      <w:r w:rsidRPr="00651E7D">
        <w:rPr>
          <w:rFonts w:cs="Times New Roman"/>
          <w:b/>
          <w:u w:val="single"/>
        </w:rPr>
        <w:lastRenderedPageBreak/>
        <w:t>Conclusion</w:t>
      </w:r>
    </w:p>
    <w:p w:rsidR="002271C6" w:rsidRDefault="00651E7D" w:rsidP="00F001A5">
      <w:pPr>
        <w:pStyle w:val="NoSpacing"/>
        <w:rPr>
          <w:rFonts w:ascii="Times New Roman" w:hAnsi="Times New Roman" w:cs="Times New Roman"/>
          <w:sz w:val="20"/>
          <w:szCs w:val="20"/>
        </w:rPr>
      </w:pPr>
      <w:r w:rsidRPr="00F001A5">
        <w:rPr>
          <w:rFonts w:ascii="Times New Roman" w:hAnsi="Times New Roman" w:cs="Times New Roman"/>
          <w:sz w:val="20"/>
          <w:szCs w:val="20"/>
        </w:rPr>
        <w:t xml:space="preserve">Collagenase Clostridium </w:t>
      </w:r>
      <w:proofErr w:type="spellStart"/>
      <w:r w:rsidRPr="00F001A5">
        <w:rPr>
          <w:rFonts w:ascii="Times New Roman" w:hAnsi="Times New Roman" w:cs="Times New Roman"/>
          <w:sz w:val="20"/>
          <w:szCs w:val="20"/>
        </w:rPr>
        <w:t>Histolyticum</w:t>
      </w:r>
      <w:proofErr w:type="spellEnd"/>
      <w:r>
        <w:rPr>
          <w:rFonts w:ascii="Times New Roman" w:hAnsi="Times New Roman" w:cs="Times New Roman"/>
          <w:sz w:val="20"/>
          <w:szCs w:val="20"/>
        </w:rPr>
        <w:t xml:space="preserve"> is the first FDA approved drug for the treatment of PD.  </w:t>
      </w:r>
      <w:r w:rsidR="002271C6">
        <w:rPr>
          <w:rFonts w:ascii="Times New Roman" w:hAnsi="Times New Roman" w:cs="Times New Roman"/>
          <w:sz w:val="20"/>
          <w:szCs w:val="20"/>
        </w:rPr>
        <w:t xml:space="preserve">It is indicated for treatment of adult men with PD with a </w:t>
      </w:r>
      <w:r w:rsidR="002271C6" w:rsidRPr="002271C6">
        <w:rPr>
          <w:rFonts w:ascii="Times New Roman" w:hAnsi="Times New Roman" w:cs="Times New Roman"/>
          <w:b/>
          <w:sz w:val="20"/>
          <w:szCs w:val="20"/>
        </w:rPr>
        <w:t>palpable plaque</w:t>
      </w:r>
      <w:r w:rsidR="002271C6">
        <w:rPr>
          <w:rFonts w:ascii="Times New Roman" w:hAnsi="Times New Roman" w:cs="Times New Roman"/>
          <w:sz w:val="20"/>
          <w:szCs w:val="20"/>
        </w:rPr>
        <w:t xml:space="preserve"> and </w:t>
      </w:r>
      <w:r w:rsidR="002271C6" w:rsidRPr="002271C6">
        <w:rPr>
          <w:rFonts w:ascii="Times New Roman" w:hAnsi="Times New Roman" w:cs="Times New Roman"/>
          <w:b/>
          <w:sz w:val="20"/>
          <w:szCs w:val="20"/>
        </w:rPr>
        <w:t>curvature deformity of at least 30 degrees</w:t>
      </w:r>
      <w:r w:rsidR="002271C6">
        <w:rPr>
          <w:rFonts w:ascii="Times New Roman" w:hAnsi="Times New Roman" w:cs="Times New Roman"/>
          <w:sz w:val="20"/>
          <w:szCs w:val="20"/>
        </w:rPr>
        <w:t xml:space="preserve"> at the start of therapy.  In the pivotal trials, study entry criteria also included that patient was in the stable phase of Peyronie’s disease.  They were excluded if they had ventral curvature deformity, isolated hourglass deformity or a calcified plaque that could interfere with the injection technique.</w:t>
      </w:r>
    </w:p>
    <w:p w:rsidR="002271C6" w:rsidRDefault="002271C6" w:rsidP="00F001A5">
      <w:pPr>
        <w:pStyle w:val="NoSpacing"/>
        <w:rPr>
          <w:rFonts w:ascii="Times New Roman" w:hAnsi="Times New Roman" w:cs="Times New Roman"/>
          <w:sz w:val="20"/>
          <w:szCs w:val="20"/>
        </w:rPr>
      </w:pPr>
    </w:p>
    <w:p w:rsidR="00651E7D" w:rsidRDefault="0039268C" w:rsidP="00F001A5">
      <w:pPr>
        <w:pStyle w:val="NoSpacing"/>
        <w:rPr>
          <w:rFonts w:cs="Times New Roman"/>
          <w:b/>
        </w:rPr>
      </w:pPr>
      <w:r>
        <w:rPr>
          <w:rFonts w:ascii="Times New Roman" w:hAnsi="Times New Roman" w:cs="Times New Roman"/>
          <w:sz w:val="20"/>
          <w:szCs w:val="20"/>
        </w:rPr>
        <w:t>In the pivotal trials</w:t>
      </w:r>
      <w:r w:rsidR="00D3393C">
        <w:rPr>
          <w:rFonts w:ascii="Times New Roman" w:hAnsi="Times New Roman" w:cs="Times New Roman"/>
          <w:sz w:val="20"/>
          <w:szCs w:val="20"/>
        </w:rPr>
        <w:t xml:space="preserve">, </w:t>
      </w:r>
      <w:r w:rsidR="00651E7D">
        <w:rPr>
          <w:rFonts w:ascii="Times New Roman" w:hAnsi="Times New Roman" w:cs="Times New Roman"/>
          <w:sz w:val="20"/>
          <w:szCs w:val="20"/>
        </w:rPr>
        <w:t xml:space="preserve">the mean decrease in curvature was 17 and 10 degrees </w:t>
      </w:r>
      <w:r w:rsidR="00D3393C">
        <w:rPr>
          <w:rFonts w:ascii="Times New Roman" w:hAnsi="Times New Roman" w:cs="Times New Roman"/>
          <w:sz w:val="20"/>
          <w:szCs w:val="20"/>
        </w:rPr>
        <w:t xml:space="preserve">for CCH and placebo </w:t>
      </w:r>
      <w:r w:rsidR="00651E7D">
        <w:rPr>
          <w:rFonts w:ascii="Times New Roman" w:hAnsi="Times New Roman" w:cs="Times New Roman"/>
          <w:sz w:val="20"/>
          <w:szCs w:val="20"/>
        </w:rPr>
        <w:t xml:space="preserve">respectively </w:t>
      </w:r>
      <w:r w:rsidR="00D3393C">
        <w:rPr>
          <w:rFonts w:ascii="Times New Roman" w:hAnsi="Times New Roman" w:cs="Times New Roman"/>
          <w:sz w:val="20"/>
          <w:szCs w:val="20"/>
        </w:rPr>
        <w:t>from a mean baseline of 50 degrees</w:t>
      </w:r>
      <w:r>
        <w:rPr>
          <w:rFonts w:ascii="Times New Roman" w:hAnsi="Times New Roman" w:cs="Times New Roman"/>
          <w:sz w:val="20"/>
          <w:szCs w:val="20"/>
        </w:rPr>
        <w:t xml:space="preserve"> at 52 weeks</w:t>
      </w:r>
      <w:r w:rsidR="00D3393C">
        <w:rPr>
          <w:rFonts w:ascii="Times New Roman" w:hAnsi="Times New Roman" w:cs="Times New Roman"/>
          <w:sz w:val="20"/>
          <w:szCs w:val="20"/>
        </w:rPr>
        <w:t>.</w:t>
      </w:r>
      <w:r w:rsidR="00F21B92">
        <w:rPr>
          <w:rFonts w:ascii="Times New Roman" w:hAnsi="Times New Roman" w:cs="Times New Roman"/>
          <w:sz w:val="20"/>
          <w:szCs w:val="20"/>
        </w:rPr>
        <w:t xml:space="preserve">  Because of safety concerns, CCH is only available through the </w:t>
      </w:r>
      <w:r w:rsidR="00F21B92" w:rsidRPr="00F21B92">
        <w:rPr>
          <w:rFonts w:ascii="Times New Roman" w:hAnsi="Times New Roman" w:cs="Times New Roman"/>
          <w:sz w:val="20"/>
          <w:szCs w:val="20"/>
        </w:rPr>
        <w:t>XIAFLEX REMS Program</w:t>
      </w:r>
      <w:r>
        <w:rPr>
          <w:rFonts w:ascii="Times New Roman" w:hAnsi="Times New Roman" w:cs="Times New Roman"/>
          <w:sz w:val="20"/>
          <w:szCs w:val="20"/>
        </w:rPr>
        <w:t xml:space="preserve"> and </w:t>
      </w:r>
      <w:r w:rsidR="00F21B92">
        <w:rPr>
          <w:rFonts w:ascii="Times New Roman" w:hAnsi="Times New Roman" w:cs="Times New Roman"/>
          <w:sz w:val="20"/>
          <w:szCs w:val="20"/>
        </w:rPr>
        <w:t xml:space="preserve">is restricted to providers specializing in the treatment of male urological diseases.  </w:t>
      </w:r>
      <w:r>
        <w:rPr>
          <w:rFonts w:ascii="Times New Roman" w:hAnsi="Times New Roman" w:cs="Times New Roman"/>
          <w:sz w:val="20"/>
          <w:szCs w:val="20"/>
        </w:rPr>
        <w:t>Use of this agent should take into consideration the modest benefits, potential risks, intensive treatment regimen, and high cost.</w:t>
      </w:r>
      <w:r w:rsidR="00970A3B">
        <w:rPr>
          <w:rFonts w:ascii="Times New Roman" w:hAnsi="Times New Roman" w:cs="Times New Roman"/>
          <w:sz w:val="20"/>
          <w:szCs w:val="20"/>
        </w:rPr>
        <w:t xml:space="preserve"> </w:t>
      </w:r>
      <w:bookmarkStart w:id="0" w:name="_GoBack"/>
      <w:bookmarkEnd w:id="0"/>
    </w:p>
    <w:p w:rsidR="00F21B92" w:rsidRDefault="00F21B92" w:rsidP="00F001A5">
      <w:pPr>
        <w:pStyle w:val="NoSpacing"/>
        <w:rPr>
          <w:rFonts w:cs="Times New Roman"/>
          <w:b/>
        </w:rPr>
      </w:pPr>
    </w:p>
    <w:p w:rsidR="00FA23A3" w:rsidRPr="00CE7986" w:rsidRDefault="00FA23A3" w:rsidP="00F001A5">
      <w:pPr>
        <w:pStyle w:val="NoSpacing"/>
        <w:rPr>
          <w:rFonts w:cs="Times New Roman"/>
          <w:b/>
          <w:u w:val="single"/>
        </w:rPr>
      </w:pPr>
      <w:r w:rsidRPr="00CE7986">
        <w:rPr>
          <w:rFonts w:cs="Times New Roman"/>
          <w:b/>
          <w:u w:val="single"/>
        </w:rPr>
        <w:t>References</w:t>
      </w:r>
    </w:p>
    <w:p w:rsidR="00FA23A3" w:rsidRDefault="00FA23A3" w:rsidP="00F001A5">
      <w:pPr>
        <w:pStyle w:val="NoSpacing"/>
        <w:rPr>
          <w:rFonts w:ascii="Times New Roman" w:hAnsi="Times New Roman" w:cs="Times New Roman"/>
          <w:sz w:val="20"/>
          <w:szCs w:val="20"/>
        </w:rPr>
      </w:pPr>
      <w:proofErr w:type="spellStart"/>
      <w:r>
        <w:rPr>
          <w:rFonts w:ascii="Times New Roman" w:hAnsi="Times New Roman" w:cs="Times New Roman"/>
          <w:sz w:val="20"/>
          <w:szCs w:val="20"/>
        </w:rPr>
        <w:t>Gelbard</w:t>
      </w:r>
      <w:proofErr w:type="spellEnd"/>
      <w:r>
        <w:rPr>
          <w:rFonts w:ascii="Times New Roman" w:hAnsi="Times New Roman" w:cs="Times New Roman"/>
          <w:sz w:val="20"/>
          <w:szCs w:val="20"/>
        </w:rPr>
        <w:t xml:space="preserve"> M, Goldstein I, </w:t>
      </w:r>
      <w:proofErr w:type="spellStart"/>
      <w:r>
        <w:rPr>
          <w:rFonts w:ascii="Times New Roman" w:hAnsi="Times New Roman" w:cs="Times New Roman"/>
          <w:sz w:val="20"/>
          <w:szCs w:val="20"/>
        </w:rPr>
        <w:t>Hellstrom</w:t>
      </w:r>
      <w:proofErr w:type="spellEnd"/>
      <w:r>
        <w:rPr>
          <w:rFonts w:ascii="Times New Roman" w:hAnsi="Times New Roman" w:cs="Times New Roman"/>
          <w:sz w:val="20"/>
          <w:szCs w:val="20"/>
        </w:rPr>
        <w:t xml:space="preserve"> WJG, et al.  Clinical efficacy, safety and tolerability of collagenase clostridium </w:t>
      </w:r>
      <w:proofErr w:type="spellStart"/>
      <w:r>
        <w:rPr>
          <w:rFonts w:ascii="Times New Roman" w:hAnsi="Times New Roman" w:cs="Times New Roman"/>
          <w:sz w:val="20"/>
          <w:szCs w:val="20"/>
        </w:rPr>
        <w:t>histolyticum</w:t>
      </w:r>
      <w:proofErr w:type="spellEnd"/>
      <w:r>
        <w:rPr>
          <w:rFonts w:ascii="Times New Roman" w:hAnsi="Times New Roman" w:cs="Times New Roman"/>
          <w:sz w:val="20"/>
          <w:szCs w:val="20"/>
        </w:rPr>
        <w:t xml:space="preserve"> for the treatment of Peyronie’s disease in 2 large double-blind, randomized, placebo controlled phase 3 studies.  J </w:t>
      </w:r>
      <w:proofErr w:type="spellStart"/>
      <w:r>
        <w:rPr>
          <w:rFonts w:ascii="Times New Roman" w:hAnsi="Times New Roman" w:cs="Times New Roman"/>
          <w:sz w:val="20"/>
          <w:szCs w:val="20"/>
        </w:rPr>
        <w:t>Urol</w:t>
      </w:r>
      <w:proofErr w:type="spellEnd"/>
      <w:r>
        <w:rPr>
          <w:rFonts w:ascii="Times New Roman" w:hAnsi="Times New Roman" w:cs="Times New Roman"/>
          <w:sz w:val="20"/>
          <w:szCs w:val="20"/>
        </w:rPr>
        <w:t xml:space="preserve"> 2013; 190: 199-207.</w:t>
      </w:r>
    </w:p>
    <w:p w:rsidR="00FA23A3" w:rsidRDefault="00FA23A3" w:rsidP="00F001A5">
      <w:pPr>
        <w:pStyle w:val="NoSpacing"/>
        <w:rPr>
          <w:rFonts w:ascii="Times New Roman" w:hAnsi="Times New Roman" w:cs="Times New Roman"/>
          <w:sz w:val="20"/>
          <w:szCs w:val="20"/>
        </w:rPr>
      </w:pPr>
    </w:p>
    <w:p w:rsidR="00FA23A3" w:rsidRDefault="00FA23A3" w:rsidP="00F001A5">
      <w:pPr>
        <w:pStyle w:val="NoSpacing"/>
        <w:rPr>
          <w:rFonts w:ascii="Times New Roman" w:hAnsi="Times New Roman" w:cs="Times New Roman"/>
          <w:sz w:val="20"/>
          <w:szCs w:val="20"/>
        </w:rPr>
      </w:pPr>
      <w:proofErr w:type="spellStart"/>
      <w:r>
        <w:rPr>
          <w:rFonts w:ascii="Times New Roman" w:hAnsi="Times New Roman" w:cs="Times New Roman"/>
          <w:sz w:val="20"/>
          <w:szCs w:val="20"/>
        </w:rPr>
        <w:t>Hellstrom</w:t>
      </w:r>
      <w:proofErr w:type="spellEnd"/>
      <w:r>
        <w:rPr>
          <w:rFonts w:ascii="Times New Roman" w:hAnsi="Times New Roman" w:cs="Times New Roman"/>
          <w:sz w:val="20"/>
          <w:szCs w:val="20"/>
        </w:rPr>
        <w:t xml:space="preserve"> WJG, Feldman R, Rosen RC, et al.  Bother and distress associated with Peyronie’s disease: validation of the Peyronie’s disease questionnaire.  J </w:t>
      </w:r>
      <w:proofErr w:type="spellStart"/>
      <w:r>
        <w:rPr>
          <w:rFonts w:ascii="Times New Roman" w:hAnsi="Times New Roman" w:cs="Times New Roman"/>
          <w:sz w:val="20"/>
          <w:szCs w:val="20"/>
        </w:rPr>
        <w:t>Urol</w:t>
      </w:r>
      <w:proofErr w:type="spellEnd"/>
      <w:r>
        <w:rPr>
          <w:rFonts w:ascii="Times New Roman" w:hAnsi="Times New Roman" w:cs="Times New Roman"/>
          <w:sz w:val="20"/>
          <w:szCs w:val="20"/>
        </w:rPr>
        <w:t xml:space="preserve"> 2013; 190: 627-634.  </w:t>
      </w:r>
    </w:p>
    <w:p w:rsidR="00FA23A3" w:rsidRDefault="00FA23A3" w:rsidP="00F001A5">
      <w:pPr>
        <w:pStyle w:val="NoSpacing"/>
        <w:rPr>
          <w:rFonts w:ascii="Times New Roman" w:hAnsi="Times New Roman" w:cs="Times New Roman"/>
          <w:sz w:val="20"/>
          <w:szCs w:val="20"/>
        </w:rPr>
      </w:pPr>
    </w:p>
    <w:p w:rsidR="00FA23A3" w:rsidRDefault="00FA23A3" w:rsidP="00F001A5">
      <w:pPr>
        <w:pStyle w:val="NoSpacing"/>
        <w:rPr>
          <w:rFonts w:ascii="Times New Roman" w:hAnsi="Times New Roman" w:cs="Times New Roman"/>
          <w:sz w:val="20"/>
          <w:szCs w:val="20"/>
        </w:rPr>
      </w:pPr>
      <w:proofErr w:type="spellStart"/>
      <w:proofErr w:type="gramStart"/>
      <w:r>
        <w:rPr>
          <w:rFonts w:ascii="Times New Roman" w:hAnsi="Times New Roman" w:cs="Times New Roman"/>
          <w:sz w:val="20"/>
          <w:szCs w:val="20"/>
        </w:rPr>
        <w:t>Gelbard</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Lipshultz</w:t>
      </w:r>
      <w:proofErr w:type="spellEnd"/>
      <w:r>
        <w:rPr>
          <w:rFonts w:ascii="Times New Roman" w:hAnsi="Times New Roman" w:cs="Times New Roman"/>
          <w:sz w:val="20"/>
          <w:szCs w:val="20"/>
        </w:rPr>
        <w:t xml:space="preserve"> LI, </w:t>
      </w:r>
      <w:proofErr w:type="spellStart"/>
      <w:r>
        <w:rPr>
          <w:rFonts w:ascii="Times New Roman" w:hAnsi="Times New Roman" w:cs="Times New Roman"/>
          <w:sz w:val="20"/>
          <w:szCs w:val="20"/>
        </w:rPr>
        <w:t>Tursi</w:t>
      </w:r>
      <w:proofErr w:type="spellEnd"/>
      <w:r>
        <w:rPr>
          <w:rFonts w:ascii="Times New Roman" w:hAnsi="Times New Roman" w:cs="Times New Roman"/>
          <w:sz w:val="20"/>
          <w:szCs w:val="20"/>
        </w:rPr>
        <w:t xml:space="preserve"> J, et al.</w:t>
      </w:r>
      <w:proofErr w:type="gramEnd"/>
      <w:r>
        <w:rPr>
          <w:rFonts w:ascii="Times New Roman" w:hAnsi="Times New Roman" w:cs="Times New Roman"/>
          <w:sz w:val="20"/>
          <w:szCs w:val="20"/>
        </w:rPr>
        <w:t xml:space="preserve">  Phase 2b study of the clinical efficacy and safety of collagenase clostridium </w:t>
      </w:r>
      <w:proofErr w:type="spellStart"/>
      <w:r>
        <w:rPr>
          <w:rFonts w:ascii="Times New Roman" w:hAnsi="Times New Roman" w:cs="Times New Roman"/>
          <w:sz w:val="20"/>
          <w:szCs w:val="20"/>
        </w:rPr>
        <w:t>histolyticum</w:t>
      </w:r>
      <w:proofErr w:type="spellEnd"/>
      <w:r>
        <w:rPr>
          <w:rFonts w:ascii="Times New Roman" w:hAnsi="Times New Roman" w:cs="Times New Roman"/>
          <w:sz w:val="20"/>
          <w:szCs w:val="20"/>
        </w:rPr>
        <w:t xml:space="preserve"> in patients with Peyronie’s Disease.  J </w:t>
      </w:r>
      <w:proofErr w:type="spellStart"/>
      <w:r>
        <w:rPr>
          <w:rFonts w:ascii="Times New Roman" w:hAnsi="Times New Roman" w:cs="Times New Roman"/>
          <w:sz w:val="20"/>
          <w:szCs w:val="20"/>
        </w:rPr>
        <w:t>Urol</w:t>
      </w:r>
      <w:proofErr w:type="spellEnd"/>
      <w:r>
        <w:rPr>
          <w:rFonts w:ascii="Times New Roman" w:hAnsi="Times New Roman" w:cs="Times New Roman"/>
          <w:sz w:val="20"/>
          <w:szCs w:val="20"/>
        </w:rPr>
        <w:t xml:space="preserve"> 2012; 187: 2268-74.</w:t>
      </w:r>
    </w:p>
    <w:p w:rsidR="00FA23A3" w:rsidRDefault="00FA23A3" w:rsidP="00F001A5">
      <w:pPr>
        <w:pStyle w:val="NoSpacing"/>
        <w:rPr>
          <w:rFonts w:ascii="Times New Roman" w:hAnsi="Times New Roman" w:cs="Times New Roman"/>
          <w:sz w:val="20"/>
          <w:szCs w:val="20"/>
        </w:rPr>
      </w:pPr>
    </w:p>
    <w:p w:rsidR="00FA23A3" w:rsidRDefault="00FA23A3" w:rsidP="00F001A5">
      <w:pPr>
        <w:pStyle w:val="NoSpacing"/>
        <w:rPr>
          <w:rFonts w:ascii="Times New Roman" w:hAnsi="Times New Roman" w:cs="Times New Roman"/>
          <w:sz w:val="20"/>
          <w:szCs w:val="20"/>
        </w:rPr>
      </w:pPr>
      <w:r>
        <w:rPr>
          <w:rFonts w:ascii="Times New Roman" w:hAnsi="Times New Roman" w:cs="Times New Roman"/>
          <w:sz w:val="20"/>
          <w:szCs w:val="20"/>
        </w:rPr>
        <w:t>Product package insert for XIAFLEX. December 2013.</w:t>
      </w:r>
    </w:p>
    <w:p w:rsidR="00705566" w:rsidRDefault="00705566" w:rsidP="00F001A5">
      <w:pPr>
        <w:pStyle w:val="NoSpacing"/>
        <w:rPr>
          <w:rFonts w:ascii="Times New Roman" w:hAnsi="Times New Roman" w:cs="Times New Roman"/>
          <w:sz w:val="20"/>
          <w:szCs w:val="20"/>
        </w:rPr>
      </w:pPr>
    </w:p>
    <w:p w:rsidR="00E435A6" w:rsidRDefault="00705566" w:rsidP="00F001A5">
      <w:pPr>
        <w:pStyle w:val="NoSpacing"/>
        <w:rPr>
          <w:rFonts w:ascii="Times New Roman" w:hAnsi="Times New Roman" w:cs="Times New Roman"/>
          <w:sz w:val="20"/>
          <w:szCs w:val="20"/>
        </w:rPr>
      </w:pPr>
      <w:proofErr w:type="spellStart"/>
      <w:r>
        <w:rPr>
          <w:rFonts w:ascii="Times New Roman" w:hAnsi="Times New Roman" w:cs="Times New Roman"/>
          <w:sz w:val="20"/>
          <w:szCs w:val="20"/>
        </w:rPr>
        <w:t>Lipshultz</w:t>
      </w:r>
      <w:proofErr w:type="spellEnd"/>
      <w:r>
        <w:rPr>
          <w:rFonts w:ascii="Times New Roman" w:hAnsi="Times New Roman" w:cs="Times New Roman"/>
          <w:sz w:val="20"/>
          <w:szCs w:val="20"/>
        </w:rPr>
        <w:t xml:space="preserve"> LI, </w:t>
      </w:r>
      <w:proofErr w:type="spellStart"/>
      <w:r>
        <w:rPr>
          <w:rFonts w:ascii="Times New Roman" w:hAnsi="Times New Roman" w:cs="Times New Roman"/>
          <w:sz w:val="20"/>
          <w:szCs w:val="20"/>
        </w:rPr>
        <w:t>Gelbard</w:t>
      </w:r>
      <w:proofErr w:type="spellEnd"/>
      <w:r>
        <w:rPr>
          <w:rFonts w:ascii="Times New Roman" w:hAnsi="Times New Roman" w:cs="Times New Roman"/>
          <w:sz w:val="20"/>
          <w:szCs w:val="20"/>
        </w:rPr>
        <w:t xml:space="preserve"> M, Love C, et al.  Clinical efficacy of collagenase clostridium </w:t>
      </w:r>
      <w:proofErr w:type="spellStart"/>
      <w:r>
        <w:rPr>
          <w:rFonts w:ascii="Times New Roman" w:hAnsi="Times New Roman" w:cs="Times New Roman"/>
          <w:sz w:val="20"/>
          <w:szCs w:val="20"/>
        </w:rPr>
        <w:t>histolyticum</w:t>
      </w:r>
      <w:proofErr w:type="spellEnd"/>
      <w:r>
        <w:rPr>
          <w:rFonts w:ascii="Times New Roman" w:hAnsi="Times New Roman" w:cs="Times New Roman"/>
          <w:sz w:val="20"/>
          <w:szCs w:val="20"/>
        </w:rPr>
        <w:t xml:space="preserve"> in the treatment of Peyronie’s disease by baseline penile curvature severity stratum: results from 2 large double-blind, randomized, placebo controlled phase 3 studies.  </w:t>
      </w:r>
      <w:proofErr w:type="gramStart"/>
      <w:r w:rsidRPr="00101628">
        <w:rPr>
          <w:rFonts w:ascii="Times New Roman" w:hAnsi="Times New Roman" w:cs="Times New Roman"/>
          <w:sz w:val="20"/>
          <w:szCs w:val="20"/>
        </w:rPr>
        <w:t>Presented at American Urologic Association (AUA) May 2013.</w:t>
      </w:r>
      <w:proofErr w:type="gramEnd"/>
      <w:r w:rsidRPr="00101628">
        <w:rPr>
          <w:rFonts w:ascii="Times New Roman" w:hAnsi="Times New Roman" w:cs="Times New Roman"/>
          <w:sz w:val="20"/>
          <w:szCs w:val="20"/>
        </w:rPr>
        <w:t xml:space="preserve">  Reference 80223 (abstract)</w:t>
      </w:r>
    </w:p>
    <w:p w:rsidR="00E435A6" w:rsidRDefault="00E435A6" w:rsidP="00F001A5">
      <w:pPr>
        <w:pStyle w:val="NoSpacing"/>
        <w:rPr>
          <w:rFonts w:ascii="Times New Roman" w:hAnsi="Times New Roman" w:cs="Times New Roman"/>
          <w:sz w:val="20"/>
          <w:szCs w:val="20"/>
        </w:rPr>
      </w:pPr>
    </w:p>
    <w:p w:rsidR="00E435A6" w:rsidRDefault="00E435A6" w:rsidP="00F001A5">
      <w:pPr>
        <w:pStyle w:val="NoSpacing"/>
        <w:rPr>
          <w:rFonts w:ascii="Times New Roman" w:hAnsi="Times New Roman" w:cs="Times New Roman"/>
          <w:sz w:val="20"/>
          <w:szCs w:val="20"/>
        </w:rPr>
      </w:pPr>
      <w:r>
        <w:rPr>
          <w:rFonts w:ascii="Times New Roman" w:hAnsi="Times New Roman" w:cs="Times New Roman"/>
          <w:sz w:val="20"/>
          <w:szCs w:val="20"/>
        </w:rPr>
        <w:t xml:space="preserve">Goldstein I, Karsh L, Mills J, et al.  Clinical evaluation of treatment of Peyronie’s disease with collagenase clostridium </w:t>
      </w:r>
      <w:proofErr w:type="spellStart"/>
      <w:r>
        <w:rPr>
          <w:rFonts w:ascii="Times New Roman" w:hAnsi="Times New Roman" w:cs="Times New Roman"/>
          <w:sz w:val="20"/>
          <w:szCs w:val="20"/>
        </w:rPr>
        <w:t>histolyticum</w:t>
      </w:r>
      <w:proofErr w:type="spellEnd"/>
      <w:r>
        <w:rPr>
          <w:rFonts w:ascii="Times New Roman" w:hAnsi="Times New Roman" w:cs="Times New Roman"/>
          <w:sz w:val="20"/>
          <w:szCs w:val="20"/>
        </w:rPr>
        <w:t xml:space="preserve">: analysis of penile curvature deformity by duration of disease and plaque calcification.  </w:t>
      </w:r>
      <w:proofErr w:type="gramStart"/>
      <w:r>
        <w:rPr>
          <w:rFonts w:ascii="Times New Roman" w:hAnsi="Times New Roman" w:cs="Times New Roman"/>
          <w:sz w:val="20"/>
          <w:szCs w:val="20"/>
        </w:rPr>
        <w:t>Presented at American Urologic Association May 2013.</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Reference 80400 (abstract).</w:t>
      </w:r>
      <w:proofErr w:type="gramEnd"/>
    </w:p>
    <w:p w:rsidR="00E435A6" w:rsidRDefault="00E435A6" w:rsidP="00F001A5">
      <w:pPr>
        <w:pStyle w:val="NoSpacing"/>
        <w:rPr>
          <w:rFonts w:ascii="Times New Roman" w:hAnsi="Times New Roman" w:cs="Times New Roman"/>
          <w:sz w:val="20"/>
          <w:szCs w:val="20"/>
        </w:rPr>
      </w:pPr>
    </w:p>
    <w:p w:rsidR="00E435A6" w:rsidRDefault="00E435A6" w:rsidP="00E435A6">
      <w:pPr>
        <w:pStyle w:val="NoSpacing"/>
        <w:rPr>
          <w:rFonts w:ascii="Times New Roman" w:hAnsi="Times New Roman" w:cs="Times New Roman"/>
          <w:sz w:val="20"/>
          <w:szCs w:val="20"/>
        </w:rPr>
      </w:pPr>
      <w:proofErr w:type="spellStart"/>
      <w:r>
        <w:rPr>
          <w:rFonts w:ascii="Times New Roman" w:hAnsi="Times New Roman" w:cs="Times New Roman"/>
          <w:sz w:val="20"/>
          <w:szCs w:val="20"/>
        </w:rPr>
        <w:t>Hertzman</w:t>
      </w:r>
      <w:proofErr w:type="spellEnd"/>
      <w:r>
        <w:rPr>
          <w:rFonts w:ascii="Times New Roman" w:hAnsi="Times New Roman" w:cs="Times New Roman"/>
          <w:sz w:val="20"/>
          <w:szCs w:val="20"/>
        </w:rPr>
        <w:t xml:space="preserve"> B, Liu G, </w:t>
      </w:r>
      <w:proofErr w:type="spellStart"/>
      <w:r>
        <w:rPr>
          <w:rFonts w:ascii="Times New Roman" w:hAnsi="Times New Roman" w:cs="Times New Roman"/>
          <w:sz w:val="20"/>
          <w:szCs w:val="20"/>
        </w:rPr>
        <w:t>Tursi</w:t>
      </w:r>
      <w:proofErr w:type="spellEnd"/>
      <w:r>
        <w:rPr>
          <w:rFonts w:ascii="Times New Roman" w:hAnsi="Times New Roman" w:cs="Times New Roman"/>
          <w:sz w:val="20"/>
          <w:szCs w:val="20"/>
        </w:rPr>
        <w:t xml:space="preserve"> J, et al.  Subgroup analysis of curvature deformity severity and symptom bother improvement in patients with Peyronie’s disease being treated with collagenase clostridium </w:t>
      </w:r>
      <w:proofErr w:type="spellStart"/>
      <w:r>
        <w:rPr>
          <w:rFonts w:ascii="Times New Roman" w:hAnsi="Times New Roman" w:cs="Times New Roman"/>
          <w:sz w:val="20"/>
          <w:szCs w:val="20"/>
        </w:rPr>
        <w:t>histolyticum</w:t>
      </w:r>
      <w:proofErr w:type="spellEnd"/>
      <w:r>
        <w:rPr>
          <w:rFonts w:ascii="Times New Roman" w:hAnsi="Times New Roman" w:cs="Times New Roman"/>
          <w:sz w:val="20"/>
          <w:szCs w:val="20"/>
        </w:rPr>
        <w:t xml:space="preserve"> in clinical studies.  </w:t>
      </w:r>
      <w:proofErr w:type="gramStart"/>
      <w:r>
        <w:rPr>
          <w:rFonts w:ascii="Times New Roman" w:hAnsi="Times New Roman" w:cs="Times New Roman"/>
          <w:sz w:val="20"/>
          <w:szCs w:val="20"/>
        </w:rPr>
        <w:t>Presented at American Urologic Association May 2013.</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Reference 80398 (abstract).</w:t>
      </w:r>
      <w:proofErr w:type="gramEnd"/>
    </w:p>
    <w:p w:rsidR="00057800" w:rsidRDefault="00057800" w:rsidP="00E435A6">
      <w:pPr>
        <w:pStyle w:val="NoSpacing"/>
        <w:rPr>
          <w:rFonts w:ascii="Times New Roman" w:hAnsi="Times New Roman" w:cs="Times New Roman"/>
          <w:sz w:val="20"/>
          <w:szCs w:val="20"/>
        </w:rPr>
      </w:pPr>
    </w:p>
    <w:p w:rsidR="00057800" w:rsidRDefault="00057800" w:rsidP="00E435A6">
      <w:pPr>
        <w:pStyle w:val="NoSpacing"/>
        <w:rPr>
          <w:rFonts w:ascii="Times New Roman" w:hAnsi="Times New Roman" w:cs="Times New Roman"/>
          <w:sz w:val="20"/>
          <w:szCs w:val="20"/>
        </w:rPr>
      </w:pPr>
      <w:proofErr w:type="gramStart"/>
      <w:r>
        <w:rPr>
          <w:rFonts w:ascii="Times New Roman" w:hAnsi="Times New Roman" w:cs="Times New Roman"/>
          <w:sz w:val="20"/>
          <w:szCs w:val="20"/>
        </w:rPr>
        <w:t xml:space="preserve">Carson C, </w:t>
      </w:r>
      <w:proofErr w:type="spellStart"/>
      <w:r>
        <w:rPr>
          <w:rFonts w:ascii="Times New Roman" w:hAnsi="Times New Roman" w:cs="Times New Roman"/>
          <w:sz w:val="20"/>
          <w:szCs w:val="20"/>
        </w:rPr>
        <w:t>Sadeghi-Nejad</w:t>
      </w:r>
      <w:proofErr w:type="spellEnd"/>
      <w:r>
        <w:rPr>
          <w:rFonts w:ascii="Times New Roman" w:hAnsi="Times New Roman" w:cs="Times New Roman"/>
          <w:sz w:val="20"/>
          <w:szCs w:val="20"/>
        </w:rPr>
        <w:t xml:space="preserve"> H, Smith T, et al.</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Integrated safety profile of collagenase clostridium </w:t>
      </w:r>
      <w:proofErr w:type="spellStart"/>
      <w:r>
        <w:rPr>
          <w:rFonts w:ascii="Times New Roman" w:hAnsi="Times New Roman" w:cs="Times New Roman"/>
          <w:sz w:val="20"/>
          <w:szCs w:val="20"/>
        </w:rPr>
        <w:t>histolyticum</w:t>
      </w:r>
      <w:proofErr w:type="spellEnd"/>
      <w:r>
        <w:rPr>
          <w:rFonts w:ascii="Times New Roman" w:hAnsi="Times New Roman" w:cs="Times New Roman"/>
          <w:sz w:val="20"/>
          <w:szCs w:val="20"/>
        </w:rPr>
        <w:t xml:space="preserve"> in clinical studies evaluating the treatment of Peyronie’s disease.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Presented at American Urologic Association May 2013.</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Reference 80401 (</w:t>
      </w:r>
      <w:r w:rsidRPr="00051F6B">
        <w:rPr>
          <w:rFonts w:ascii="Times New Roman" w:hAnsi="Times New Roman" w:cs="Times New Roman"/>
          <w:sz w:val="20"/>
          <w:szCs w:val="20"/>
        </w:rPr>
        <w:t>abstract/poster).</w:t>
      </w:r>
      <w:proofErr w:type="gramEnd"/>
    </w:p>
    <w:p w:rsidR="00E435A6" w:rsidRDefault="00E435A6" w:rsidP="00F001A5">
      <w:pPr>
        <w:pStyle w:val="NoSpacing"/>
        <w:rPr>
          <w:rFonts w:ascii="Times New Roman" w:hAnsi="Times New Roman" w:cs="Times New Roman"/>
          <w:sz w:val="20"/>
          <w:szCs w:val="20"/>
        </w:rPr>
      </w:pPr>
    </w:p>
    <w:p w:rsidR="00E435A6" w:rsidRDefault="00E435A6" w:rsidP="00F001A5">
      <w:pPr>
        <w:pStyle w:val="NoSpacing"/>
        <w:rPr>
          <w:rFonts w:ascii="Times New Roman" w:hAnsi="Times New Roman" w:cs="Times New Roman"/>
          <w:sz w:val="20"/>
          <w:szCs w:val="20"/>
        </w:rPr>
      </w:pPr>
    </w:p>
    <w:p w:rsidR="0098050C" w:rsidRDefault="00E435A6" w:rsidP="00F001A5">
      <w:pPr>
        <w:pStyle w:val="NoSpacing"/>
        <w:rPr>
          <w:sz w:val="20"/>
          <w:szCs w:val="20"/>
        </w:rPr>
      </w:pPr>
      <w:r>
        <w:rPr>
          <w:sz w:val="20"/>
          <w:szCs w:val="20"/>
        </w:rPr>
        <w:t xml:space="preserve"> </w:t>
      </w:r>
    </w:p>
    <w:p w:rsidR="0098050C" w:rsidRDefault="0098050C" w:rsidP="00F001A5">
      <w:pPr>
        <w:pStyle w:val="NoSpacing"/>
        <w:rPr>
          <w:sz w:val="20"/>
          <w:szCs w:val="20"/>
        </w:rPr>
      </w:pPr>
    </w:p>
    <w:p w:rsidR="0098050C" w:rsidRDefault="0098050C" w:rsidP="00F001A5">
      <w:pPr>
        <w:pStyle w:val="NoSpacing"/>
        <w:rPr>
          <w:sz w:val="20"/>
          <w:szCs w:val="20"/>
        </w:rPr>
      </w:pPr>
    </w:p>
    <w:p w:rsidR="0098050C" w:rsidRDefault="0098050C" w:rsidP="00F001A5">
      <w:pPr>
        <w:pStyle w:val="NoSpacing"/>
        <w:rPr>
          <w:sz w:val="20"/>
          <w:szCs w:val="20"/>
        </w:rPr>
        <w:sectPr w:rsidR="0098050C" w:rsidSect="0098050C">
          <w:headerReference w:type="default" r:id="rId9"/>
          <w:footerReference w:type="default" r:id="rId10"/>
          <w:pgSz w:w="12240" w:h="15840"/>
          <w:pgMar w:top="1440" w:right="1440" w:bottom="1440" w:left="1440" w:header="720" w:footer="720" w:gutter="0"/>
          <w:cols w:space="720"/>
          <w:docGrid w:linePitch="360"/>
        </w:sectPr>
      </w:pPr>
    </w:p>
    <w:p w:rsidR="0098050C" w:rsidRPr="00E775BA" w:rsidRDefault="0098050C" w:rsidP="00F001A5">
      <w:pPr>
        <w:pStyle w:val="NoSpacing"/>
        <w:rPr>
          <w:b/>
        </w:rPr>
      </w:pPr>
      <w:r w:rsidRPr="00E775BA">
        <w:rPr>
          <w:b/>
        </w:rPr>
        <w:lastRenderedPageBreak/>
        <w:t>Appendix</w:t>
      </w:r>
      <w:r w:rsidR="00B13DE3">
        <w:rPr>
          <w:b/>
        </w:rPr>
        <w:t>:  IMPRESS I and IMPRESS II</w:t>
      </w:r>
    </w:p>
    <w:tbl>
      <w:tblPr>
        <w:tblStyle w:val="TableGrid"/>
        <w:tblW w:w="14400" w:type="dxa"/>
        <w:tblInd w:w="-612" w:type="dxa"/>
        <w:tblLook w:val="04A0" w:firstRow="1" w:lastRow="0" w:firstColumn="1" w:lastColumn="0" w:noHBand="0" w:noVBand="1"/>
      </w:tblPr>
      <w:tblGrid>
        <w:gridCol w:w="1170"/>
        <w:gridCol w:w="3504"/>
        <w:gridCol w:w="2786"/>
        <w:gridCol w:w="2337"/>
        <w:gridCol w:w="4603"/>
      </w:tblGrid>
      <w:tr w:rsidR="009B4098" w:rsidRPr="0098050C" w:rsidTr="009B4098">
        <w:tc>
          <w:tcPr>
            <w:tcW w:w="1170" w:type="dxa"/>
            <w:shd w:val="clear" w:color="auto" w:fill="D9D9D9" w:themeFill="background1" w:themeFillShade="D9"/>
          </w:tcPr>
          <w:p w:rsidR="0098050C" w:rsidRPr="0098050C" w:rsidRDefault="0098050C" w:rsidP="00F001A5">
            <w:pPr>
              <w:pStyle w:val="NoSpacing"/>
              <w:rPr>
                <w:sz w:val="16"/>
                <w:szCs w:val="16"/>
              </w:rPr>
            </w:pPr>
          </w:p>
        </w:tc>
        <w:tc>
          <w:tcPr>
            <w:tcW w:w="3510" w:type="dxa"/>
            <w:shd w:val="clear" w:color="auto" w:fill="D9D9D9" w:themeFill="background1" w:themeFillShade="D9"/>
            <w:vAlign w:val="center"/>
          </w:tcPr>
          <w:p w:rsidR="0098050C" w:rsidRPr="00E775BA" w:rsidRDefault="00E775BA" w:rsidP="00E775BA">
            <w:pPr>
              <w:pStyle w:val="NoSpacing"/>
              <w:jc w:val="center"/>
              <w:rPr>
                <w:b/>
                <w:sz w:val="16"/>
                <w:szCs w:val="16"/>
              </w:rPr>
            </w:pPr>
            <w:r w:rsidRPr="00E775BA">
              <w:rPr>
                <w:b/>
                <w:sz w:val="16"/>
                <w:szCs w:val="16"/>
              </w:rPr>
              <w:t>Entry Criteria</w:t>
            </w:r>
          </w:p>
        </w:tc>
        <w:tc>
          <w:tcPr>
            <w:tcW w:w="2790" w:type="dxa"/>
            <w:shd w:val="clear" w:color="auto" w:fill="D9D9D9" w:themeFill="background1" w:themeFillShade="D9"/>
            <w:vAlign w:val="center"/>
          </w:tcPr>
          <w:p w:rsidR="0098050C" w:rsidRPr="00E775BA" w:rsidRDefault="00E775BA" w:rsidP="00E775BA">
            <w:pPr>
              <w:pStyle w:val="NoSpacing"/>
              <w:jc w:val="center"/>
              <w:rPr>
                <w:b/>
                <w:sz w:val="16"/>
                <w:szCs w:val="16"/>
              </w:rPr>
            </w:pPr>
            <w:r w:rsidRPr="00E775BA">
              <w:rPr>
                <w:b/>
                <w:sz w:val="16"/>
                <w:szCs w:val="16"/>
              </w:rPr>
              <w:t>Treatments</w:t>
            </w:r>
          </w:p>
        </w:tc>
        <w:tc>
          <w:tcPr>
            <w:tcW w:w="2340" w:type="dxa"/>
            <w:shd w:val="clear" w:color="auto" w:fill="D9D9D9" w:themeFill="background1" w:themeFillShade="D9"/>
            <w:vAlign w:val="center"/>
          </w:tcPr>
          <w:p w:rsidR="0098050C" w:rsidRPr="00E775BA" w:rsidRDefault="00E775BA" w:rsidP="00E775BA">
            <w:pPr>
              <w:pStyle w:val="NoSpacing"/>
              <w:jc w:val="center"/>
              <w:rPr>
                <w:b/>
                <w:sz w:val="16"/>
                <w:szCs w:val="16"/>
              </w:rPr>
            </w:pPr>
            <w:r w:rsidRPr="00E775BA">
              <w:rPr>
                <w:b/>
                <w:sz w:val="16"/>
                <w:szCs w:val="16"/>
              </w:rPr>
              <w:t>Demographic/ Baseline Information</w:t>
            </w:r>
          </w:p>
        </w:tc>
        <w:tc>
          <w:tcPr>
            <w:tcW w:w="4590" w:type="dxa"/>
            <w:shd w:val="clear" w:color="auto" w:fill="D9D9D9" w:themeFill="background1" w:themeFillShade="D9"/>
            <w:vAlign w:val="center"/>
          </w:tcPr>
          <w:p w:rsidR="0098050C" w:rsidRPr="00E775BA" w:rsidRDefault="00E775BA" w:rsidP="00E775BA">
            <w:pPr>
              <w:pStyle w:val="NoSpacing"/>
              <w:jc w:val="center"/>
              <w:rPr>
                <w:b/>
                <w:sz w:val="16"/>
                <w:szCs w:val="16"/>
              </w:rPr>
            </w:pPr>
            <w:r w:rsidRPr="00E775BA">
              <w:rPr>
                <w:b/>
                <w:sz w:val="16"/>
                <w:szCs w:val="16"/>
              </w:rPr>
              <w:t>Results</w:t>
            </w:r>
          </w:p>
        </w:tc>
      </w:tr>
      <w:tr w:rsidR="001434C5" w:rsidRPr="0098050C" w:rsidTr="009B4098">
        <w:tc>
          <w:tcPr>
            <w:tcW w:w="1170" w:type="dxa"/>
          </w:tcPr>
          <w:p w:rsidR="0098050C" w:rsidRDefault="0098050C" w:rsidP="00F001A5">
            <w:pPr>
              <w:pStyle w:val="NoSpacing"/>
              <w:rPr>
                <w:sz w:val="16"/>
                <w:szCs w:val="16"/>
              </w:rPr>
            </w:pPr>
            <w:proofErr w:type="spellStart"/>
            <w:r>
              <w:rPr>
                <w:sz w:val="16"/>
                <w:szCs w:val="16"/>
              </w:rPr>
              <w:t>Gelbard</w:t>
            </w:r>
            <w:proofErr w:type="spellEnd"/>
            <w:r>
              <w:rPr>
                <w:sz w:val="16"/>
                <w:szCs w:val="16"/>
              </w:rPr>
              <w:t xml:space="preserve"> 2013</w:t>
            </w:r>
          </w:p>
          <w:p w:rsidR="0098050C" w:rsidRDefault="0098050C" w:rsidP="00F001A5">
            <w:pPr>
              <w:pStyle w:val="NoSpacing"/>
              <w:rPr>
                <w:sz w:val="16"/>
                <w:szCs w:val="16"/>
              </w:rPr>
            </w:pPr>
            <w:r>
              <w:rPr>
                <w:sz w:val="16"/>
                <w:szCs w:val="16"/>
              </w:rPr>
              <w:t>Integrated results of 2 Phase 3 trials</w:t>
            </w:r>
          </w:p>
          <w:p w:rsidR="00A56541" w:rsidRDefault="00A56541" w:rsidP="00F001A5">
            <w:pPr>
              <w:pStyle w:val="NoSpacing"/>
              <w:rPr>
                <w:sz w:val="16"/>
                <w:szCs w:val="16"/>
              </w:rPr>
            </w:pPr>
          </w:p>
          <w:p w:rsidR="0098050C" w:rsidRDefault="0098050C" w:rsidP="00F001A5">
            <w:pPr>
              <w:pStyle w:val="NoSpacing"/>
              <w:rPr>
                <w:sz w:val="16"/>
                <w:szCs w:val="16"/>
              </w:rPr>
            </w:pPr>
            <w:r>
              <w:rPr>
                <w:sz w:val="16"/>
                <w:szCs w:val="16"/>
              </w:rPr>
              <w:t>R, DB, PC</w:t>
            </w:r>
          </w:p>
          <w:p w:rsidR="00A56541" w:rsidRDefault="00A56541" w:rsidP="00F001A5">
            <w:pPr>
              <w:pStyle w:val="NoSpacing"/>
              <w:rPr>
                <w:sz w:val="16"/>
                <w:szCs w:val="16"/>
              </w:rPr>
            </w:pPr>
          </w:p>
          <w:p w:rsidR="00A56541" w:rsidRPr="0098050C" w:rsidRDefault="00A56541" w:rsidP="00F001A5">
            <w:pPr>
              <w:pStyle w:val="NoSpacing"/>
              <w:rPr>
                <w:sz w:val="16"/>
                <w:szCs w:val="16"/>
              </w:rPr>
            </w:pPr>
            <w:r>
              <w:rPr>
                <w:sz w:val="16"/>
                <w:szCs w:val="16"/>
              </w:rPr>
              <w:t>1-year</w:t>
            </w:r>
          </w:p>
        </w:tc>
        <w:tc>
          <w:tcPr>
            <w:tcW w:w="3510" w:type="dxa"/>
          </w:tcPr>
          <w:p w:rsidR="00592444" w:rsidRPr="00A56541" w:rsidRDefault="00592444" w:rsidP="00F001A5">
            <w:pPr>
              <w:pStyle w:val="NoSpacing"/>
              <w:rPr>
                <w:b/>
                <w:sz w:val="16"/>
                <w:szCs w:val="16"/>
                <w:u w:val="single"/>
              </w:rPr>
            </w:pPr>
            <w:r w:rsidRPr="00A56541">
              <w:rPr>
                <w:b/>
                <w:sz w:val="16"/>
                <w:szCs w:val="16"/>
                <w:u w:val="single"/>
              </w:rPr>
              <w:t>Inclusions</w:t>
            </w:r>
          </w:p>
          <w:p w:rsidR="0098050C" w:rsidRDefault="0098050C" w:rsidP="00F001A5">
            <w:pPr>
              <w:pStyle w:val="NoSpacing"/>
              <w:rPr>
                <w:sz w:val="16"/>
                <w:szCs w:val="16"/>
              </w:rPr>
            </w:pPr>
            <w:r>
              <w:rPr>
                <w:sz w:val="16"/>
                <w:szCs w:val="16"/>
              </w:rPr>
              <w:t>Healthy males ≥ 18 years old</w:t>
            </w:r>
          </w:p>
          <w:p w:rsidR="001D5953" w:rsidRDefault="001D5953" w:rsidP="001D5953">
            <w:pPr>
              <w:pStyle w:val="NoSpacing"/>
              <w:rPr>
                <w:sz w:val="16"/>
                <w:szCs w:val="16"/>
              </w:rPr>
            </w:pPr>
            <w:r>
              <w:rPr>
                <w:sz w:val="16"/>
                <w:szCs w:val="16"/>
              </w:rPr>
              <w:t>Diagnosis of PD for ≥ 12 months with evidence of stable disease</w:t>
            </w:r>
          </w:p>
          <w:p w:rsidR="001D5953" w:rsidRDefault="001D5953" w:rsidP="001D5953">
            <w:pPr>
              <w:pStyle w:val="NoSpacing"/>
              <w:rPr>
                <w:sz w:val="16"/>
                <w:szCs w:val="16"/>
              </w:rPr>
            </w:pPr>
            <w:r>
              <w:rPr>
                <w:sz w:val="16"/>
                <w:szCs w:val="16"/>
              </w:rPr>
              <w:t xml:space="preserve">Penile </w:t>
            </w:r>
            <w:r w:rsidR="00592444">
              <w:rPr>
                <w:sz w:val="16"/>
                <w:szCs w:val="16"/>
              </w:rPr>
              <w:t>curvature of ≥30° in dorsal, lateral, or dorsal/lateral plane</w:t>
            </w:r>
          </w:p>
          <w:p w:rsidR="00592444" w:rsidRDefault="00592444" w:rsidP="001D5953">
            <w:pPr>
              <w:pStyle w:val="NoSpacing"/>
              <w:rPr>
                <w:sz w:val="16"/>
                <w:szCs w:val="16"/>
              </w:rPr>
            </w:pPr>
            <w:r>
              <w:rPr>
                <w:sz w:val="16"/>
                <w:szCs w:val="16"/>
              </w:rPr>
              <w:t>In stable relationship with female partner/spouse and willing to have vaginal intercourse with that partner/spouse</w:t>
            </w:r>
          </w:p>
          <w:p w:rsidR="00A56541" w:rsidRDefault="00A56541" w:rsidP="001D5953">
            <w:pPr>
              <w:pStyle w:val="NoSpacing"/>
              <w:rPr>
                <w:sz w:val="16"/>
                <w:szCs w:val="16"/>
              </w:rPr>
            </w:pPr>
          </w:p>
          <w:p w:rsidR="00592444" w:rsidRPr="00A56541" w:rsidRDefault="00592444" w:rsidP="001D5953">
            <w:pPr>
              <w:pStyle w:val="NoSpacing"/>
              <w:rPr>
                <w:b/>
                <w:sz w:val="16"/>
                <w:szCs w:val="16"/>
                <w:u w:val="single"/>
              </w:rPr>
            </w:pPr>
            <w:r w:rsidRPr="00A56541">
              <w:rPr>
                <w:b/>
                <w:sz w:val="16"/>
                <w:szCs w:val="16"/>
                <w:u w:val="single"/>
              </w:rPr>
              <w:t>Exclusions</w:t>
            </w:r>
          </w:p>
          <w:p w:rsidR="00592444" w:rsidRPr="0098050C" w:rsidRDefault="00592444" w:rsidP="001D5953">
            <w:pPr>
              <w:pStyle w:val="NoSpacing"/>
              <w:rPr>
                <w:sz w:val="16"/>
                <w:szCs w:val="16"/>
              </w:rPr>
            </w:pPr>
            <w:r>
              <w:rPr>
                <w:sz w:val="16"/>
                <w:szCs w:val="16"/>
              </w:rPr>
              <w:t xml:space="preserve">Penile curvature &lt;30° or &gt;90°; any conditions affecting the penis (e.g., </w:t>
            </w:r>
            <w:proofErr w:type="spellStart"/>
            <w:r>
              <w:rPr>
                <w:sz w:val="16"/>
                <w:szCs w:val="16"/>
              </w:rPr>
              <w:t>chordee</w:t>
            </w:r>
            <w:proofErr w:type="spellEnd"/>
            <w:r>
              <w:rPr>
                <w:sz w:val="16"/>
                <w:szCs w:val="16"/>
              </w:rPr>
              <w:t xml:space="preserve"> in the presence or absence of hypospadias, thrombosis of the dorsal penile artery, infiltration by benign or malignant mass or infection, ventral curvature, presence of sexually transmitted disease); known active </w:t>
            </w:r>
            <w:proofErr w:type="spellStart"/>
            <w:r>
              <w:rPr>
                <w:sz w:val="16"/>
                <w:szCs w:val="16"/>
              </w:rPr>
              <w:t>Hep</w:t>
            </w:r>
            <w:proofErr w:type="spellEnd"/>
            <w:r>
              <w:rPr>
                <w:sz w:val="16"/>
                <w:szCs w:val="16"/>
              </w:rPr>
              <w:t xml:space="preserve"> B or C; known HIV; failure to have sufficient erection (after prostaglandin E or </w:t>
            </w:r>
            <w:proofErr w:type="spellStart"/>
            <w:r>
              <w:rPr>
                <w:sz w:val="16"/>
                <w:szCs w:val="16"/>
              </w:rPr>
              <w:t>Trimix</w:t>
            </w:r>
            <w:proofErr w:type="spellEnd"/>
            <w:r>
              <w:rPr>
                <w:sz w:val="16"/>
                <w:szCs w:val="16"/>
              </w:rPr>
              <w:t xml:space="preserve"> injection); calcified plaque that would prevent proper injection; isolated hourglass deformity without curvature; plaque causing </w:t>
            </w:r>
            <w:r w:rsidR="00FB52E7">
              <w:rPr>
                <w:sz w:val="16"/>
                <w:szCs w:val="16"/>
              </w:rPr>
              <w:t>curvature</w:t>
            </w:r>
            <w:r>
              <w:rPr>
                <w:sz w:val="16"/>
                <w:szCs w:val="16"/>
              </w:rPr>
              <w:t xml:space="preserve"> located proximal to the</w:t>
            </w:r>
            <w:r w:rsidR="00D7079E">
              <w:rPr>
                <w:sz w:val="16"/>
                <w:szCs w:val="16"/>
              </w:rPr>
              <w:t xml:space="preserve"> base of the penis; treatment or</w:t>
            </w:r>
            <w:r>
              <w:rPr>
                <w:sz w:val="16"/>
                <w:szCs w:val="16"/>
              </w:rPr>
              <w:t xml:space="preserve"> plans to undergo treatment for PD (e.g., surgery, oral/topical /</w:t>
            </w:r>
            <w:proofErr w:type="spellStart"/>
            <w:r>
              <w:rPr>
                <w:sz w:val="16"/>
                <w:szCs w:val="16"/>
              </w:rPr>
              <w:t>intralesional</w:t>
            </w:r>
            <w:proofErr w:type="spellEnd"/>
            <w:r>
              <w:rPr>
                <w:sz w:val="16"/>
                <w:szCs w:val="16"/>
              </w:rPr>
              <w:t xml:space="preserve"> agents within 3 months, extracorporeal shock wave therapy within 6 months, use of mechanical devices within 2 weeks); ED unresponsive to PDE inhibitors; compromised penile hemodynamics determined to be clinically  significant</w:t>
            </w:r>
            <w:r w:rsidR="00A56541">
              <w:rPr>
                <w:sz w:val="16"/>
                <w:szCs w:val="16"/>
              </w:rPr>
              <w:t>; uncontrolled HTN, known recent history of stroke, bleeding, or other significant medical condition; investigatio</w:t>
            </w:r>
            <w:r w:rsidR="00E719A8">
              <w:rPr>
                <w:sz w:val="16"/>
                <w:szCs w:val="16"/>
              </w:rPr>
              <w:t>nal drug treatment including CCH</w:t>
            </w:r>
            <w:r w:rsidR="00A56541">
              <w:rPr>
                <w:sz w:val="16"/>
                <w:szCs w:val="16"/>
              </w:rPr>
              <w:t xml:space="preserve"> within 30 days; allergy to collagenase; received anticoagulant medication (excluding daily ASA ≤165mg or OTC NSAID ≤ 8000mg) 7 days before each </w:t>
            </w:r>
            <w:r w:rsidR="00E719A8">
              <w:rPr>
                <w:sz w:val="16"/>
                <w:szCs w:val="16"/>
              </w:rPr>
              <w:t>dose of study drug; previous CCH</w:t>
            </w:r>
            <w:r w:rsidR="00A56541">
              <w:rPr>
                <w:sz w:val="16"/>
                <w:szCs w:val="16"/>
              </w:rPr>
              <w:t xml:space="preserve"> for PD</w:t>
            </w:r>
          </w:p>
        </w:tc>
        <w:tc>
          <w:tcPr>
            <w:tcW w:w="2790" w:type="dxa"/>
          </w:tcPr>
          <w:p w:rsidR="0098050C" w:rsidRDefault="00A56541" w:rsidP="00F001A5">
            <w:pPr>
              <w:pStyle w:val="NoSpacing"/>
              <w:rPr>
                <w:sz w:val="16"/>
                <w:szCs w:val="16"/>
              </w:rPr>
            </w:pPr>
            <w:r>
              <w:rPr>
                <w:sz w:val="16"/>
                <w:szCs w:val="16"/>
              </w:rPr>
              <w:t>Pts. stratified according to degree of curvature (30-60 and 61-90)</w:t>
            </w:r>
          </w:p>
          <w:p w:rsidR="00A56541" w:rsidRDefault="00A56541" w:rsidP="00F001A5">
            <w:pPr>
              <w:pStyle w:val="NoSpacing"/>
              <w:rPr>
                <w:sz w:val="16"/>
                <w:szCs w:val="16"/>
              </w:rPr>
            </w:pPr>
          </w:p>
          <w:p w:rsidR="00A56541" w:rsidRDefault="00E719A8" w:rsidP="00F001A5">
            <w:pPr>
              <w:pStyle w:val="NoSpacing"/>
              <w:rPr>
                <w:sz w:val="16"/>
                <w:szCs w:val="16"/>
              </w:rPr>
            </w:pPr>
            <w:r>
              <w:rPr>
                <w:sz w:val="16"/>
                <w:szCs w:val="16"/>
              </w:rPr>
              <w:t>Randomized 2:1 CCH</w:t>
            </w:r>
            <w:r w:rsidR="00A56541">
              <w:rPr>
                <w:sz w:val="16"/>
                <w:szCs w:val="16"/>
              </w:rPr>
              <w:t>:PBO</w:t>
            </w:r>
          </w:p>
          <w:p w:rsidR="00A56541" w:rsidRDefault="00A56541" w:rsidP="00F001A5">
            <w:pPr>
              <w:pStyle w:val="NoSpacing"/>
              <w:rPr>
                <w:sz w:val="16"/>
                <w:szCs w:val="16"/>
              </w:rPr>
            </w:pPr>
          </w:p>
          <w:p w:rsidR="00A56541" w:rsidRDefault="00E719A8" w:rsidP="00F001A5">
            <w:pPr>
              <w:pStyle w:val="NoSpacing"/>
              <w:rPr>
                <w:sz w:val="16"/>
                <w:szCs w:val="16"/>
              </w:rPr>
            </w:pPr>
            <w:r>
              <w:rPr>
                <w:sz w:val="16"/>
                <w:szCs w:val="16"/>
              </w:rPr>
              <w:t>CCH</w:t>
            </w:r>
            <w:r w:rsidR="00A56541">
              <w:rPr>
                <w:sz w:val="16"/>
                <w:szCs w:val="16"/>
              </w:rPr>
              <w:t xml:space="preserve"> 0.58mg</w:t>
            </w:r>
            <w:r w:rsidR="003C5CAE">
              <w:rPr>
                <w:sz w:val="16"/>
                <w:szCs w:val="16"/>
              </w:rPr>
              <w:t xml:space="preserve"> (n=551)</w:t>
            </w:r>
          </w:p>
          <w:p w:rsidR="00A56541" w:rsidRDefault="00A56541" w:rsidP="00F001A5">
            <w:pPr>
              <w:pStyle w:val="NoSpacing"/>
              <w:rPr>
                <w:sz w:val="16"/>
                <w:szCs w:val="16"/>
              </w:rPr>
            </w:pPr>
            <w:r>
              <w:rPr>
                <w:sz w:val="16"/>
                <w:szCs w:val="16"/>
              </w:rPr>
              <w:t>PBO</w:t>
            </w:r>
            <w:r w:rsidR="003C5CAE">
              <w:rPr>
                <w:sz w:val="16"/>
                <w:szCs w:val="16"/>
              </w:rPr>
              <w:t xml:space="preserve"> (n=281)</w:t>
            </w:r>
          </w:p>
          <w:p w:rsidR="00A56541" w:rsidRDefault="00A56541" w:rsidP="00F001A5">
            <w:pPr>
              <w:pStyle w:val="NoSpacing"/>
              <w:rPr>
                <w:sz w:val="16"/>
                <w:szCs w:val="16"/>
              </w:rPr>
            </w:pPr>
          </w:p>
          <w:p w:rsidR="003C5CAE" w:rsidRDefault="00A56541" w:rsidP="00F001A5">
            <w:pPr>
              <w:pStyle w:val="NoSpacing"/>
              <w:rPr>
                <w:sz w:val="16"/>
                <w:szCs w:val="16"/>
              </w:rPr>
            </w:pPr>
            <w:r>
              <w:rPr>
                <w:sz w:val="16"/>
                <w:szCs w:val="16"/>
              </w:rPr>
              <w:t xml:space="preserve">Each treatment cycle included 2 injections with an interval of 24-72 hours between injections. </w:t>
            </w:r>
          </w:p>
          <w:p w:rsidR="003C5CAE" w:rsidRDefault="003C5CAE" w:rsidP="00F001A5">
            <w:pPr>
              <w:pStyle w:val="NoSpacing"/>
              <w:rPr>
                <w:sz w:val="16"/>
                <w:szCs w:val="16"/>
              </w:rPr>
            </w:pPr>
          </w:p>
          <w:p w:rsidR="00A56541" w:rsidRDefault="00A56541" w:rsidP="00F001A5">
            <w:pPr>
              <w:pStyle w:val="NoSpacing"/>
              <w:rPr>
                <w:sz w:val="16"/>
                <w:szCs w:val="16"/>
              </w:rPr>
            </w:pPr>
            <w:r>
              <w:rPr>
                <w:sz w:val="16"/>
                <w:szCs w:val="16"/>
              </w:rPr>
              <w:t xml:space="preserve"> Approximately 24-72 hours after the 2</w:t>
            </w:r>
            <w:r w:rsidRPr="00A56541">
              <w:rPr>
                <w:sz w:val="16"/>
                <w:szCs w:val="16"/>
                <w:vertAlign w:val="superscript"/>
              </w:rPr>
              <w:t>nd</w:t>
            </w:r>
            <w:r>
              <w:rPr>
                <w:sz w:val="16"/>
                <w:szCs w:val="16"/>
              </w:rPr>
              <w:t xml:space="preserve"> injection, patients underwent penile plaque modeling (using plaque as fulcrum point, investigator applied </w:t>
            </w:r>
            <w:r w:rsidR="003C5CAE">
              <w:rPr>
                <w:sz w:val="16"/>
                <w:szCs w:val="16"/>
              </w:rPr>
              <w:t>firm steady pressure to elongate and stretch the penis.  Penis was held in this position for 30 seconds.  Procedure was repeated 3 times</w:t>
            </w:r>
            <w:r w:rsidR="00547708">
              <w:rPr>
                <w:sz w:val="16"/>
                <w:szCs w:val="16"/>
              </w:rPr>
              <w:t>)</w:t>
            </w:r>
            <w:r w:rsidR="003C5CAE">
              <w:rPr>
                <w:sz w:val="16"/>
                <w:szCs w:val="16"/>
              </w:rPr>
              <w:t>. Pts. were instructed to perform standardized home penile modeling 3 times daily using similar procedure during the 6-week period between each treatment cycle.</w:t>
            </w:r>
          </w:p>
          <w:p w:rsidR="003C5CAE" w:rsidRDefault="003C5CAE" w:rsidP="00F001A5">
            <w:pPr>
              <w:pStyle w:val="NoSpacing"/>
              <w:rPr>
                <w:sz w:val="16"/>
                <w:szCs w:val="16"/>
              </w:rPr>
            </w:pPr>
          </w:p>
          <w:p w:rsidR="003C5CAE" w:rsidRPr="0098050C" w:rsidRDefault="003C5CAE" w:rsidP="00F001A5">
            <w:pPr>
              <w:pStyle w:val="NoSpacing"/>
              <w:rPr>
                <w:sz w:val="16"/>
                <w:szCs w:val="16"/>
              </w:rPr>
            </w:pPr>
            <w:r>
              <w:rPr>
                <w:sz w:val="16"/>
                <w:szCs w:val="16"/>
              </w:rPr>
              <w:t>The treatment cycle was repeated after 6 weeks for up to 4 treatment cycles.  After the 1</w:t>
            </w:r>
            <w:r w:rsidRPr="003C5CAE">
              <w:rPr>
                <w:sz w:val="16"/>
                <w:szCs w:val="16"/>
                <w:vertAlign w:val="superscript"/>
              </w:rPr>
              <w:t>st</w:t>
            </w:r>
            <w:r>
              <w:rPr>
                <w:sz w:val="16"/>
                <w:szCs w:val="16"/>
              </w:rPr>
              <w:t xml:space="preserve"> treatment cycle, subsequent cycles were not administered if curvature abnormality was reduced to &lt;15° or further </w:t>
            </w:r>
            <w:proofErr w:type="spellStart"/>
            <w:r>
              <w:rPr>
                <w:sz w:val="16"/>
                <w:szCs w:val="16"/>
              </w:rPr>
              <w:t>tx</w:t>
            </w:r>
            <w:proofErr w:type="spellEnd"/>
            <w:r>
              <w:rPr>
                <w:sz w:val="16"/>
                <w:szCs w:val="16"/>
              </w:rPr>
              <w:t xml:space="preserve"> was not clinically indicated</w:t>
            </w:r>
          </w:p>
        </w:tc>
        <w:tc>
          <w:tcPr>
            <w:tcW w:w="2340" w:type="dxa"/>
          </w:tcPr>
          <w:p w:rsidR="0098050C" w:rsidRDefault="00E719A8" w:rsidP="00F001A5">
            <w:pPr>
              <w:pStyle w:val="NoSpacing"/>
              <w:rPr>
                <w:sz w:val="16"/>
                <w:szCs w:val="16"/>
              </w:rPr>
            </w:pPr>
            <w:r>
              <w:rPr>
                <w:sz w:val="16"/>
                <w:szCs w:val="16"/>
              </w:rPr>
              <w:t>Values for CCH</w:t>
            </w:r>
            <w:r w:rsidR="003C5CAE">
              <w:rPr>
                <w:sz w:val="16"/>
                <w:szCs w:val="16"/>
              </w:rPr>
              <w:t xml:space="preserve"> and PBO respectively</w:t>
            </w:r>
          </w:p>
          <w:p w:rsidR="003C5CAE" w:rsidRDefault="003C5CAE" w:rsidP="00F001A5">
            <w:pPr>
              <w:pStyle w:val="NoSpacing"/>
              <w:rPr>
                <w:sz w:val="16"/>
                <w:szCs w:val="16"/>
              </w:rPr>
            </w:pPr>
          </w:p>
          <w:p w:rsidR="003C5CAE" w:rsidRDefault="003C5CAE" w:rsidP="00F001A5">
            <w:pPr>
              <w:pStyle w:val="NoSpacing"/>
              <w:rPr>
                <w:sz w:val="16"/>
                <w:szCs w:val="16"/>
              </w:rPr>
            </w:pPr>
            <w:r w:rsidRPr="00E775BA">
              <w:rPr>
                <w:b/>
                <w:sz w:val="16"/>
                <w:szCs w:val="16"/>
              </w:rPr>
              <w:t>Age (years):</w:t>
            </w:r>
            <w:r>
              <w:rPr>
                <w:sz w:val="16"/>
                <w:szCs w:val="16"/>
              </w:rPr>
              <w:t xml:space="preserve"> 57.6±8.5; 57.9±8.3</w:t>
            </w:r>
          </w:p>
          <w:p w:rsidR="003C5CAE" w:rsidRDefault="003C5CAE" w:rsidP="00F001A5">
            <w:pPr>
              <w:pStyle w:val="NoSpacing"/>
              <w:rPr>
                <w:sz w:val="16"/>
                <w:szCs w:val="16"/>
              </w:rPr>
            </w:pPr>
            <w:r w:rsidRPr="00E775BA">
              <w:rPr>
                <w:b/>
                <w:sz w:val="16"/>
                <w:szCs w:val="16"/>
              </w:rPr>
              <w:t>Race white (%):</w:t>
            </w:r>
            <w:r>
              <w:rPr>
                <w:sz w:val="16"/>
                <w:szCs w:val="16"/>
              </w:rPr>
              <w:t xml:space="preserve"> 95.8; 97.2</w:t>
            </w:r>
          </w:p>
          <w:p w:rsidR="003C5CAE" w:rsidRPr="00E775BA" w:rsidRDefault="003C5CAE" w:rsidP="00F001A5">
            <w:pPr>
              <w:pStyle w:val="NoSpacing"/>
              <w:rPr>
                <w:b/>
                <w:sz w:val="16"/>
                <w:szCs w:val="16"/>
                <w:u w:val="single"/>
              </w:rPr>
            </w:pPr>
            <w:r w:rsidRPr="00E775BA">
              <w:rPr>
                <w:b/>
                <w:sz w:val="16"/>
                <w:szCs w:val="16"/>
                <w:u w:val="single"/>
              </w:rPr>
              <w:t>F</w:t>
            </w:r>
            <w:r w:rsidR="00E775BA" w:rsidRPr="00E775BA">
              <w:rPr>
                <w:b/>
                <w:sz w:val="16"/>
                <w:szCs w:val="16"/>
                <w:u w:val="single"/>
              </w:rPr>
              <w:t>amily history of PD</w:t>
            </w:r>
          </w:p>
          <w:p w:rsidR="003C5CAE" w:rsidRDefault="003C5CAE" w:rsidP="00E775BA">
            <w:pPr>
              <w:pStyle w:val="NoSpacing"/>
              <w:numPr>
                <w:ilvl w:val="0"/>
                <w:numId w:val="5"/>
              </w:numPr>
              <w:rPr>
                <w:sz w:val="16"/>
                <w:szCs w:val="16"/>
              </w:rPr>
            </w:pPr>
            <w:r>
              <w:rPr>
                <w:sz w:val="16"/>
                <w:szCs w:val="16"/>
              </w:rPr>
              <w:t>Yes</w:t>
            </w:r>
            <w:r w:rsidR="00E775BA">
              <w:rPr>
                <w:sz w:val="16"/>
                <w:szCs w:val="16"/>
              </w:rPr>
              <w:t xml:space="preserve"> (%)</w:t>
            </w:r>
            <w:r>
              <w:rPr>
                <w:sz w:val="16"/>
                <w:szCs w:val="16"/>
              </w:rPr>
              <w:t>: 4.7; 5.0</w:t>
            </w:r>
          </w:p>
          <w:p w:rsidR="003C5CAE" w:rsidRDefault="003C5CAE" w:rsidP="00E775BA">
            <w:pPr>
              <w:pStyle w:val="NoSpacing"/>
              <w:numPr>
                <w:ilvl w:val="0"/>
                <w:numId w:val="5"/>
              </w:numPr>
              <w:rPr>
                <w:sz w:val="16"/>
                <w:szCs w:val="16"/>
              </w:rPr>
            </w:pPr>
            <w:r>
              <w:rPr>
                <w:sz w:val="16"/>
                <w:szCs w:val="16"/>
              </w:rPr>
              <w:t>No</w:t>
            </w:r>
            <w:r w:rsidR="00E775BA">
              <w:rPr>
                <w:sz w:val="16"/>
                <w:szCs w:val="16"/>
              </w:rPr>
              <w:t xml:space="preserve"> (%)</w:t>
            </w:r>
            <w:r>
              <w:rPr>
                <w:sz w:val="16"/>
                <w:szCs w:val="16"/>
              </w:rPr>
              <w:t>: 95.3; 95</w:t>
            </w:r>
          </w:p>
          <w:p w:rsidR="003C5CAE" w:rsidRDefault="003C5CAE" w:rsidP="00E775BA">
            <w:pPr>
              <w:pStyle w:val="NoSpacing"/>
              <w:numPr>
                <w:ilvl w:val="0"/>
                <w:numId w:val="5"/>
              </w:numPr>
              <w:rPr>
                <w:sz w:val="16"/>
                <w:szCs w:val="16"/>
              </w:rPr>
            </w:pPr>
            <w:r>
              <w:rPr>
                <w:sz w:val="16"/>
                <w:szCs w:val="16"/>
              </w:rPr>
              <w:t>Unknown</w:t>
            </w:r>
            <w:r w:rsidR="00E775BA">
              <w:rPr>
                <w:sz w:val="16"/>
                <w:szCs w:val="16"/>
              </w:rPr>
              <w:t xml:space="preserve"> (n): 145; 79</w:t>
            </w:r>
          </w:p>
          <w:p w:rsidR="00E775BA" w:rsidRDefault="00E775BA" w:rsidP="00E775BA">
            <w:pPr>
              <w:pStyle w:val="NoSpacing"/>
              <w:rPr>
                <w:sz w:val="16"/>
                <w:szCs w:val="16"/>
              </w:rPr>
            </w:pPr>
            <w:r w:rsidRPr="00E775BA">
              <w:rPr>
                <w:b/>
                <w:sz w:val="16"/>
                <w:szCs w:val="16"/>
              </w:rPr>
              <w:t>PD history (years):</w:t>
            </w:r>
            <w:r>
              <w:rPr>
                <w:sz w:val="16"/>
                <w:szCs w:val="16"/>
              </w:rPr>
              <w:t xml:space="preserve"> 4.1±4.1; 4.1±4.8</w:t>
            </w:r>
          </w:p>
          <w:p w:rsidR="00DC48FD" w:rsidRDefault="00DC48FD" w:rsidP="00E775BA">
            <w:pPr>
              <w:pStyle w:val="NoSpacing"/>
              <w:rPr>
                <w:sz w:val="16"/>
                <w:szCs w:val="16"/>
              </w:rPr>
            </w:pPr>
            <w:r w:rsidRPr="00DC48FD">
              <w:rPr>
                <w:b/>
                <w:sz w:val="16"/>
                <w:szCs w:val="16"/>
              </w:rPr>
              <w:t>Penile curvature (degrees):</w:t>
            </w:r>
            <w:r>
              <w:rPr>
                <w:sz w:val="16"/>
                <w:szCs w:val="16"/>
              </w:rPr>
              <w:t xml:space="preserve"> 50.1±14.4; 49.3±14</w:t>
            </w:r>
          </w:p>
          <w:p w:rsidR="003C5CAE" w:rsidRDefault="00E775BA" w:rsidP="00F001A5">
            <w:pPr>
              <w:pStyle w:val="NoSpacing"/>
              <w:rPr>
                <w:sz w:val="16"/>
                <w:szCs w:val="16"/>
              </w:rPr>
            </w:pPr>
            <w:r w:rsidRPr="00E775BA">
              <w:rPr>
                <w:b/>
                <w:sz w:val="16"/>
                <w:szCs w:val="16"/>
              </w:rPr>
              <w:t>Penile curvature deformity 30-60 degrees (%):</w:t>
            </w:r>
            <w:r>
              <w:rPr>
                <w:sz w:val="16"/>
                <w:szCs w:val="16"/>
              </w:rPr>
              <w:t xml:space="preserve"> 77.1; 77.6</w:t>
            </w:r>
          </w:p>
          <w:p w:rsidR="00E775BA" w:rsidRDefault="00E775BA" w:rsidP="00F001A5">
            <w:pPr>
              <w:pStyle w:val="NoSpacing"/>
              <w:rPr>
                <w:sz w:val="16"/>
                <w:szCs w:val="16"/>
              </w:rPr>
            </w:pPr>
            <w:r w:rsidRPr="00E775BA">
              <w:rPr>
                <w:b/>
                <w:sz w:val="16"/>
                <w:szCs w:val="16"/>
              </w:rPr>
              <w:t>Penile curvature deformity &gt;60 degrees (%):</w:t>
            </w:r>
            <w:r>
              <w:rPr>
                <w:sz w:val="16"/>
                <w:szCs w:val="16"/>
              </w:rPr>
              <w:t xml:space="preserve"> 22.9; 22.4</w:t>
            </w:r>
          </w:p>
          <w:p w:rsidR="00F22266" w:rsidRDefault="00F22266" w:rsidP="00F001A5">
            <w:pPr>
              <w:pStyle w:val="NoSpacing"/>
              <w:rPr>
                <w:sz w:val="16"/>
                <w:szCs w:val="16"/>
              </w:rPr>
            </w:pPr>
            <w:r w:rsidRPr="00F22266">
              <w:rPr>
                <w:b/>
                <w:sz w:val="16"/>
                <w:szCs w:val="16"/>
              </w:rPr>
              <w:t>PDQ bother domain score:</w:t>
            </w:r>
            <w:r>
              <w:rPr>
                <w:sz w:val="16"/>
                <w:szCs w:val="16"/>
              </w:rPr>
              <w:t xml:space="preserve"> 7.5±3.5; 7.8±3.7</w:t>
            </w:r>
          </w:p>
          <w:p w:rsidR="008B45F9" w:rsidRDefault="008B45F9" w:rsidP="00F001A5">
            <w:pPr>
              <w:pStyle w:val="NoSpacing"/>
              <w:rPr>
                <w:sz w:val="16"/>
                <w:szCs w:val="16"/>
              </w:rPr>
            </w:pPr>
            <w:r w:rsidRPr="008B45F9">
              <w:rPr>
                <w:b/>
                <w:sz w:val="16"/>
                <w:szCs w:val="16"/>
              </w:rPr>
              <w:t>PDQ symptoms domain score:</w:t>
            </w:r>
            <w:r>
              <w:rPr>
                <w:sz w:val="16"/>
                <w:szCs w:val="16"/>
              </w:rPr>
              <w:t xml:space="preserve"> 10.8±5.0; 10.6±5.1</w:t>
            </w:r>
          </w:p>
          <w:p w:rsidR="00E775BA" w:rsidRDefault="00E775BA" w:rsidP="00F001A5">
            <w:pPr>
              <w:pStyle w:val="NoSpacing"/>
              <w:rPr>
                <w:sz w:val="16"/>
                <w:szCs w:val="16"/>
              </w:rPr>
            </w:pPr>
            <w:r w:rsidRPr="00E775BA">
              <w:rPr>
                <w:b/>
                <w:sz w:val="16"/>
                <w:szCs w:val="16"/>
              </w:rPr>
              <w:t>Penile trauma (%):</w:t>
            </w:r>
            <w:r>
              <w:rPr>
                <w:sz w:val="16"/>
                <w:szCs w:val="16"/>
              </w:rPr>
              <w:t xml:space="preserve"> 23.4; 25.3</w:t>
            </w:r>
          </w:p>
          <w:p w:rsidR="00E775BA" w:rsidRDefault="00DC48FD" w:rsidP="00F001A5">
            <w:pPr>
              <w:pStyle w:val="NoSpacing"/>
              <w:rPr>
                <w:sz w:val="16"/>
                <w:szCs w:val="16"/>
              </w:rPr>
            </w:pPr>
            <w:r>
              <w:rPr>
                <w:b/>
                <w:sz w:val="16"/>
                <w:szCs w:val="16"/>
              </w:rPr>
              <w:t>H</w:t>
            </w:r>
            <w:r w:rsidR="00E775BA" w:rsidRPr="00E775BA">
              <w:rPr>
                <w:b/>
                <w:sz w:val="16"/>
                <w:szCs w:val="16"/>
              </w:rPr>
              <w:t>istory</w:t>
            </w:r>
            <w:r>
              <w:rPr>
                <w:b/>
                <w:sz w:val="16"/>
                <w:szCs w:val="16"/>
              </w:rPr>
              <w:t xml:space="preserve"> of ED</w:t>
            </w:r>
            <w:r w:rsidR="00E775BA" w:rsidRPr="00E775BA">
              <w:rPr>
                <w:b/>
                <w:sz w:val="16"/>
                <w:szCs w:val="16"/>
              </w:rPr>
              <w:t xml:space="preserve"> (%):</w:t>
            </w:r>
            <w:r w:rsidR="00E775BA">
              <w:rPr>
                <w:sz w:val="16"/>
                <w:szCs w:val="16"/>
              </w:rPr>
              <w:t xml:space="preserve"> 47.5; 53.7</w:t>
            </w:r>
          </w:p>
          <w:p w:rsidR="003C5CAE" w:rsidRDefault="003C5CAE" w:rsidP="00F001A5">
            <w:pPr>
              <w:pStyle w:val="NoSpacing"/>
              <w:rPr>
                <w:sz w:val="16"/>
                <w:szCs w:val="16"/>
              </w:rPr>
            </w:pPr>
          </w:p>
          <w:p w:rsidR="003C5CAE" w:rsidRDefault="003C5CAE" w:rsidP="00F001A5">
            <w:pPr>
              <w:pStyle w:val="NoSpacing"/>
              <w:rPr>
                <w:sz w:val="16"/>
                <w:szCs w:val="16"/>
              </w:rPr>
            </w:pPr>
          </w:p>
          <w:p w:rsidR="003C5CAE" w:rsidRDefault="003C5CAE" w:rsidP="00F001A5">
            <w:pPr>
              <w:pStyle w:val="NoSpacing"/>
              <w:rPr>
                <w:sz w:val="16"/>
                <w:szCs w:val="16"/>
              </w:rPr>
            </w:pPr>
          </w:p>
          <w:p w:rsidR="003C5CAE" w:rsidRDefault="003C5CAE" w:rsidP="00F001A5">
            <w:pPr>
              <w:pStyle w:val="NoSpacing"/>
              <w:rPr>
                <w:sz w:val="16"/>
                <w:szCs w:val="16"/>
              </w:rPr>
            </w:pPr>
          </w:p>
          <w:p w:rsidR="003C5CAE" w:rsidRDefault="003C5CAE" w:rsidP="00F001A5">
            <w:pPr>
              <w:pStyle w:val="NoSpacing"/>
              <w:rPr>
                <w:sz w:val="16"/>
                <w:szCs w:val="16"/>
              </w:rPr>
            </w:pPr>
          </w:p>
          <w:p w:rsidR="003C5CAE" w:rsidRPr="0098050C" w:rsidRDefault="003C5CAE" w:rsidP="00F001A5">
            <w:pPr>
              <w:pStyle w:val="NoSpacing"/>
              <w:rPr>
                <w:sz w:val="16"/>
                <w:szCs w:val="16"/>
              </w:rPr>
            </w:pPr>
          </w:p>
        </w:tc>
        <w:tc>
          <w:tcPr>
            <w:tcW w:w="4590" w:type="dxa"/>
          </w:tcPr>
          <w:tbl>
            <w:tblPr>
              <w:tblStyle w:val="TableGrid"/>
              <w:tblW w:w="4387" w:type="dxa"/>
              <w:tblLook w:val="04A0" w:firstRow="1" w:lastRow="0" w:firstColumn="1" w:lastColumn="0" w:noHBand="0" w:noVBand="1"/>
            </w:tblPr>
            <w:tblGrid>
              <w:gridCol w:w="1890"/>
              <w:gridCol w:w="1248"/>
              <w:gridCol w:w="1249"/>
            </w:tblGrid>
            <w:tr w:rsidR="009B4098" w:rsidTr="001434C5">
              <w:tc>
                <w:tcPr>
                  <w:tcW w:w="1890" w:type="dxa"/>
                  <w:tcBorders>
                    <w:left w:val="nil"/>
                    <w:right w:val="nil"/>
                  </w:tcBorders>
                  <w:shd w:val="clear" w:color="auto" w:fill="D9D9D9" w:themeFill="background1" w:themeFillShade="D9"/>
                </w:tcPr>
                <w:p w:rsidR="009B4098" w:rsidRPr="00D01122" w:rsidRDefault="009B4098" w:rsidP="00F001A5">
                  <w:pPr>
                    <w:pStyle w:val="NoSpacing"/>
                    <w:rPr>
                      <w:b/>
                      <w:sz w:val="16"/>
                      <w:szCs w:val="16"/>
                    </w:rPr>
                  </w:pPr>
                </w:p>
              </w:tc>
              <w:tc>
                <w:tcPr>
                  <w:tcW w:w="1248" w:type="dxa"/>
                  <w:tcBorders>
                    <w:left w:val="nil"/>
                    <w:right w:val="nil"/>
                  </w:tcBorders>
                  <w:shd w:val="clear" w:color="auto" w:fill="D9D9D9" w:themeFill="background1" w:themeFillShade="D9"/>
                </w:tcPr>
                <w:p w:rsidR="009B4098" w:rsidRPr="00D01122" w:rsidRDefault="00E719A8" w:rsidP="00260946">
                  <w:pPr>
                    <w:pStyle w:val="NoSpacing"/>
                    <w:jc w:val="center"/>
                    <w:rPr>
                      <w:b/>
                      <w:sz w:val="16"/>
                      <w:szCs w:val="16"/>
                    </w:rPr>
                  </w:pPr>
                  <w:r>
                    <w:rPr>
                      <w:b/>
                      <w:sz w:val="16"/>
                      <w:szCs w:val="16"/>
                    </w:rPr>
                    <w:t>CCH</w:t>
                  </w:r>
                </w:p>
              </w:tc>
              <w:tc>
                <w:tcPr>
                  <w:tcW w:w="1249" w:type="dxa"/>
                  <w:tcBorders>
                    <w:left w:val="nil"/>
                    <w:right w:val="nil"/>
                  </w:tcBorders>
                  <w:shd w:val="clear" w:color="auto" w:fill="D9D9D9" w:themeFill="background1" w:themeFillShade="D9"/>
                </w:tcPr>
                <w:p w:rsidR="009B4098" w:rsidRPr="00D01122" w:rsidRDefault="009B4098" w:rsidP="00260946">
                  <w:pPr>
                    <w:pStyle w:val="NoSpacing"/>
                    <w:jc w:val="center"/>
                    <w:rPr>
                      <w:b/>
                      <w:sz w:val="16"/>
                      <w:szCs w:val="16"/>
                    </w:rPr>
                  </w:pPr>
                  <w:r w:rsidRPr="00D01122">
                    <w:rPr>
                      <w:b/>
                      <w:sz w:val="16"/>
                      <w:szCs w:val="16"/>
                    </w:rPr>
                    <w:t>PBO</w:t>
                  </w:r>
                </w:p>
              </w:tc>
            </w:tr>
            <w:tr w:rsidR="00A7712A" w:rsidTr="001434C5">
              <w:tc>
                <w:tcPr>
                  <w:tcW w:w="1890" w:type="dxa"/>
                  <w:tcBorders>
                    <w:left w:val="nil"/>
                    <w:right w:val="nil"/>
                  </w:tcBorders>
                </w:tcPr>
                <w:p w:rsidR="00A7712A" w:rsidRDefault="00A7712A" w:rsidP="00F001A5">
                  <w:pPr>
                    <w:pStyle w:val="NoSpacing"/>
                    <w:rPr>
                      <w:sz w:val="16"/>
                      <w:szCs w:val="16"/>
                    </w:rPr>
                  </w:pPr>
                  <w:r>
                    <w:rPr>
                      <w:sz w:val="16"/>
                      <w:szCs w:val="16"/>
                    </w:rPr>
                    <w:t>Received 8 injections (%)</w:t>
                  </w:r>
                </w:p>
              </w:tc>
              <w:tc>
                <w:tcPr>
                  <w:tcW w:w="1248" w:type="dxa"/>
                  <w:tcBorders>
                    <w:left w:val="nil"/>
                    <w:right w:val="nil"/>
                  </w:tcBorders>
                  <w:vAlign w:val="center"/>
                </w:tcPr>
                <w:p w:rsidR="00A7712A" w:rsidRDefault="00A7712A" w:rsidP="00260946">
                  <w:pPr>
                    <w:pStyle w:val="NoSpacing"/>
                    <w:jc w:val="center"/>
                    <w:rPr>
                      <w:sz w:val="16"/>
                      <w:szCs w:val="16"/>
                    </w:rPr>
                  </w:pPr>
                  <w:r>
                    <w:rPr>
                      <w:sz w:val="16"/>
                      <w:szCs w:val="16"/>
                    </w:rPr>
                    <w:t>78.8</w:t>
                  </w:r>
                </w:p>
              </w:tc>
              <w:tc>
                <w:tcPr>
                  <w:tcW w:w="1249" w:type="dxa"/>
                  <w:tcBorders>
                    <w:left w:val="nil"/>
                    <w:right w:val="nil"/>
                  </w:tcBorders>
                  <w:vAlign w:val="center"/>
                </w:tcPr>
                <w:p w:rsidR="00A7712A" w:rsidRDefault="00A7712A" w:rsidP="00260946">
                  <w:pPr>
                    <w:pStyle w:val="NoSpacing"/>
                    <w:jc w:val="center"/>
                    <w:rPr>
                      <w:sz w:val="16"/>
                      <w:szCs w:val="16"/>
                    </w:rPr>
                  </w:pPr>
                  <w:r>
                    <w:rPr>
                      <w:sz w:val="16"/>
                      <w:szCs w:val="16"/>
                    </w:rPr>
                    <w:t>87.9</w:t>
                  </w:r>
                </w:p>
              </w:tc>
            </w:tr>
            <w:tr w:rsidR="009B4098" w:rsidTr="001434C5">
              <w:tc>
                <w:tcPr>
                  <w:tcW w:w="1890" w:type="dxa"/>
                  <w:tcBorders>
                    <w:left w:val="nil"/>
                    <w:right w:val="nil"/>
                  </w:tcBorders>
                </w:tcPr>
                <w:p w:rsidR="009B4098" w:rsidRDefault="00DC48FD" w:rsidP="00F001A5">
                  <w:pPr>
                    <w:pStyle w:val="NoSpacing"/>
                    <w:rPr>
                      <w:sz w:val="16"/>
                      <w:szCs w:val="16"/>
                    </w:rPr>
                  </w:pPr>
                  <w:r>
                    <w:rPr>
                      <w:sz w:val="16"/>
                      <w:szCs w:val="16"/>
                    </w:rPr>
                    <w:t>Penile curvature at 52 weeks (</w:t>
                  </w:r>
                  <w:r w:rsidR="00260946">
                    <w:rPr>
                      <w:sz w:val="16"/>
                      <w:szCs w:val="16"/>
                    </w:rPr>
                    <w:t>degrees</w:t>
                  </w:r>
                  <w:r>
                    <w:rPr>
                      <w:sz w:val="16"/>
                      <w:szCs w:val="16"/>
                    </w:rPr>
                    <w:t>)</w:t>
                  </w:r>
                </w:p>
              </w:tc>
              <w:tc>
                <w:tcPr>
                  <w:tcW w:w="1248" w:type="dxa"/>
                  <w:tcBorders>
                    <w:left w:val="nil"/>
                    <w:right w:val="nil"/>
                  </w:tcBorders>
                  <w:vAlign w:val="center"/>
                </w:tcPr>
                <w:p w:rsidR="009B4098" w:rsidRDefault="00DC48FD" w:rsidP="00260946">
                  <w:pPr>
                    <w:pStyle w:val="NoSpacing"/>
                    <w:jc w:val="center"/>
                    <w:rPr>
                      <w:sz w:val="16"/>
                      <w:szCs w:val="16"/>
                    </w:rPr>
                  </w:pPr>
                  <w:r>
                    <w:rPr>
                      <w:sz w:val="16"/>
                      <w:szCs w:val="16"/>
                    </w:rPr>
                    <w:t>33.1±16.8*</w:t>
                  </w:r>
                </w:p>
              </w:tc>
              <w:tc>
                <w:tcPr>
                  <w:tcW w:w="1249" w:type="dxa"/>
                  <w:tcBorders>
                    <w:left w:val="nil"/>
                    <w:right w:val="nil"/>
                  </w:tcBorders>
                  <w:vAlign w:val="center"/>
                </w:tcPr>
                <w:p w:rsidR="009B4098" w:rsidRDefault="00DC48FD" w:rsidP="00260946">
                  <w:pPr>
                    <w:pStyle w:val="NoSpacing"/>
                    <w:jc w:val="center"/>
                    <w:rPr>
                      <w:sz w:val="16"/>
                      <w:szCs w:val="16"/>
                    </w:rPr>
                  </w:pPr>
                  <w:r>
                    <w:rPr>
                      <w:sz w:val="16"/>
                      <w:szCs w:val="16"/>
                    </w:rPr>
                    <w:t>40±16.2</w:t>
                  </w:r>
                </w:p>
              </w:tc>
            </w:tr>
            <w:tr w:rsidR="009B4098" w:rsidTr="001434C5">
              <w:tc>
                <w:tcPr>
                  <w:tcW w:w="1890" w:type="dxa"/>
                  <w:tcBorders>
                    <w:left w:val="nil"/>
                    <w:right w:val="nil"/>
                  </w:tcBorders>
                </w:tcPr>
                <w:p w:rsidR="009B4098" w:rsidRDefault="00DC48FD" w:rsidP="00F001A5">
                  <w:pPr>
                    <w:pStyle w:val="NoSpacing"/>
                    <w:rPr>
                      <w:sz w:val="16"/>
                      <w:szCs w:val="16"/>
                    </w:rPr>
                  </w:pPr>
                  <w:r>
                    <w:rPr>
                      <w:sz w:val="16"/>
                      <w:szCs w:val="16"/>
                    </w:rPr>
                    <w:t>Change in curvature (%)</w:t>
                  </w:r>
                </w:p>
              </w:tc>
              <w:tc>
                <w:tcPr>
                  <w:tcW w:w="1248" w:type="dxa"/>
                  <w:tcBorders>
                    <w:left w:val="nil"/>
                    <w:right w:val="nil"/>
                  </w:tcBorders>
                  <w:vAlign w:val="center"/>
                </w:tcPr>
                <w:p w:rsidR="009B4098" w:rsidRDefault="00DC48FD" w:rsidP="00260946">
                  <w:pPr>
                    <w:pStyle w:val="NoSpacing"/>
                    <w:jc w:val="center"/>
                    <w:rPr>
                      <w:sz w:val="16"/>
                      <w:szCs w:val="16"/>
                    </w:rPr>
                  </w:pPr>
                  <w:r>
                    <w:rPr>
                      <w:sz w:val="16"/>
                      <w:szCs w:val="16"/>
                    </w:rPr>
                    <w:t>-34*</w:t>
                  </w:r>
                </w:p>
              </w:tc>
              <w:tc>
                <w:tcPr>
                  <w:tcW w:w="1249" w:type="dxa"/>
                  <w:tcBorders>
                    <w:left w:val="nil"/>
                    <w:right w:val="nil"/>
                  </w:tcBorders>
                  <w:vAlign w:val="center"/>
                </w:tcPr>
                <w:p w:rsidR="009B4098" w:rsidRDefault="00DC48FD" w:rsidP="00260946">
                  <w:pPr>
                    <w:pStyle w:val="NoSpacing"/>
                    <w:jc w:val="center"/>
                    <w:rPr>
                      <w:sz w:val="16"/>
                      <w:szCs w:val="16"/>
                    </w:rPr>
                  </w:pPr>
                  <w:r>
                    <w:rPr>
                      <w:sz w:val="16"/>
                      <w:szCs w:val="16"/>
                    </w:rPr>
                    <w:t>-18.2</w:t>
                  </w:r>
                </w:p>
              </w:tc>
            </w:tr>
            <w:tr w:rsidR="00DC48FD" w:rsidTr="001434C5">
              <w:tc>
                <w:tcPr>
                  <w:tcW w:w="1890" w:type="dxa"/>
                  <w:tcBorders>
                    <w:left w:val="nil"/>
                    <w:right w:val="nil"/>
                  </w:tcBorders>
                </w:tcPr>
                <w:p w:rsidR="00DC48FD" w:rsidRDefault="008B45F9" w:rsidP="00F001A5">
                  <w:pPr>
                    <w:pStyle w:val="NoSpacing"/>
                    <w:rPr>
                      <w:sz w:val="16"/>
                      <w:szCs w:val="16"/>
                    </w:rPr>
                  </w:pPr>
                  <w:r>
                    <w:rPr>
                      <w:sz w:val="16"/>
                      <w:szCs w:val="16"/>
                    </w:rPr>
                    <w:t xml:space="preserve">Δ </w:t>
                  </w:r>
                  <w:r w:rsidR="00DC48FD">
                    <w:rPr>
                      <w:sz w:val="16"/>
                      <w:szCs w:val="16"/>
                    </w:rPr>
                    <w:t>PDQ bother domain score</w:t>
                  </w:r>
                  <w:r>
                    <w:rPr>
                      <w:sz w:val="16"/>
                      <w:szCs w:val="16"/>
                    </w:rPr>
                    <w:t>ⱡ</w:t>
                  </w:r>
                </w:p>
              </w:tc>
              <w:tc>
                <w:tcPr>
                  <w:tcW w:w="1248" w:type="dxa"/>
                  <w:tcBorders>
                    <w:left w:val="nil"/>
                    <w:right w:val="nil"/>
                  </w:tcBorders>
                  <w:vAlign w:val="center"/>
                </w:tcPr>
                <w:p w:rsidR="00DC48FD" w:rsidRDefault="008B45F9" w:rsidP="00260946">
                  <w:pPr>
                    <w:pStyle w:val="NoSpacing"/>
                    <w:jc w:val="center"/>
                    <w:rPr>
                      <w:sz w:val="16"/>
                      <w:szCs w:val="16"/>
                    </w:rPr>
                  </w:pPr>
                  <w:r>
                    <w:rPr>
                      <w:sz w:val="16"/>
                      <w:szCs w:val="16"/>
                    </w:rPr>
                    <w:t>-2.8±3.8*</w:t>
                  </w:r>
                </w:p>
              </w:tc>
              <w:tc>
                <w:tcPr>
                  <w:tcW w:w="1249" w:type="dxa"/>
                  <w:tcBorders>
                    <w:left w:val="nil"/>
                    <w:right w:val="nil"/>
                  </w:tcBorders>
                  <w:vAlign w:val="center"/>
                </w:tcPr>
                <w:p w:rsidR="00DC48FD" w:rsidRDefault="008B45F9" w:rsidP="00260946">
                  <w:pPr>
                    <w:pStyle w:val="NoSpacing"/>
                    <w:jc w:val="center"/>
                    <w:rPr>
                      <w:sz w:val="16"/>
                      <w:szCs w:val="16"/>
                    </w:rPr>
                  </w:pPr>
                  <w:r>
                    <w:rPr>
                      <w:sz w:val="16"/>
                      <w:szCs w:val="16"/>
                    </w:rPr>
                    <w:t>-1.8±3.5</w:t>
                  </w:r>
                </w:p>
              </w:tc>
            </w:tr>
            <w:tr w:rsidR="008B45F9" w:rsidTr="001434C5">
              <w:tc>
                <w:tcPr>
                  <w:tcW w:w="1890" w:type="dxa"/>
                  <w:tcBorders>
                    <w:left w:val="nil"/>
                    <w:right w:val="nil"/>
                  </w:tcBorders>
                </w:tcPr>
                <w:p w:rsidR="008B45F9" w:rsidRDefault="008B45F9" w:rsidP="00F001A5">
                  <w:pPr>
                    <w:pStyle w:val="NoSpacing"/>
                    <w:rPr>
                      <w:sz w:val="16"/>
                      <w:szCs w:val="16"/>
                    </w:rPr>
                  </w:pPr>
                  <w:r>
                    <w:rPr>
                      <w:sz w:val="16"/>
                      <w:szCs w:val="16"/>
                    </w:rPr>
                    <w:t>Global responders (%</w:t>
                  </w:r>
                  <w:proofErr w:type="gramStart"/>
                  <w:r>
                    <w:rPr>
                      <w:sz w:val="16"/>
                      <w:szCs w:val="16"/>
                    </w:rPr>
                    <w:t>)</w:t>
                  </w:r>
                  <w:r w:rsidR="00FB52E7">
                    <w:rPr>
                      <w:sz w:val="16"/>
                      <w:szCs w:val="16"/>
                    </w:rPr>
                    <w:t>§</w:t>
                  </w:r>
                  <w:proofErr w:type="gramEnd"/>
                </w:p>
              </w:tc>
              <w:tc>
                <w:tcPr>
                  <w:tcW w:w="1248" w:type="dxa"/>
                  <w:tcBorders>
                    <w:left w:val="nil"/>
                    <w:right w:val="nil"/>
                  </w:tcBorders>
                  <w:vAlign w:val="center"/>
                </w:tcPr>
                <w:p w:rsidR="008B45F9" w:rsidRDefault="008B45F9" w:rsidP="00260946">
                  <w:pPr>
                    <w:pStyle w:val="NoSpacing"/>
                    <w:jc w:val="center"/>
                    <w:rPr>
                      <w:sz w:val="16"/>
                      <w:szCs w:val="16"/>
                    </w:rPr>
                  </w:pPr>
                  <w:r>
                    <w:rPr>
                      <w:sz w:val="16"/>
                      <w:szCs w:val="16"/>
                    </w:rPr>
                    <w:t>60.8*</w:t>
                  </w:r>
                </w:p>
              </w:tc>
              <w:tc>
                <w:tcPr>
                  <w:tcW w:w="1249" w:type="dxa"/>
                  <w:tcBorders>
                    <w:left w:val="nil"/>
                    <w:right w:val="nil"/>
                  </w:tcBorders>
                  <w:vAlign w:val="center"/>
                </w:tcPr>
                <w:p w:rsidR="008B45F9" w:rsidRDefault="008B45F9" w:rsidP="00260946">
                  <w:pPr>
                    <w:pStyle w:val="NoSpacing"/>
                    <w:jc w:val="center"/>
                    <w:rPr>
                      <w:sz w:val="16"/>
                      <w:szCs w:val="16"/>
                    </w:rPr>
                  </w:pPr>
                  <w:r>
                    <w:rPr>
                      <w:sz w:val="16"/>
                      <w:szCs w:val="16"/>
                    </w:rPr>
                    <w:t>29.5</w:t>
                  </w:r>
                </w:p>
              </w:tc>
            </w:tr>
            <w:tr w:rsidR="008B45F9" w:rsidTr="001434C5">
              <w:tc>
                <w:tcPr>
                  <w:tcW w:w="1890" w:type="dxa"/>
                  <w:tcBorders>
                    <w:left w:val="nil"/>
                    <w:right w:val="nil"/>
                  </w:tcBorders>
                </w:tcPr>
                <w:p w:rsidR="008B45F9" w:rsidRDefault="00FB52E7" w:rsidP="00F001A5">
                  <w:pPr>
                    <w:pStyle w:val="NoSpacing"/>
                    <w:rPr>
                      <w:sz w:val="16"/>
                      <w:szCs w:val="16"/>
                    </w:rPr>
                  </w:pPr>
                  <w:r>
                    <w:rPr>
                      <w:sz w:val="16"/>
                      <w:szCs w:val="16"/>
                    </w:rPr>
                    <w:t xml:space="preserve">Δ </w:t>
                  </w:r>
                  <w:r w:rsidR="008B45F9">
                    <w:rPr>
                      <w:sz w:val="16"/>
                      <w:szCs w:val="16"/>
                    </w:rPr>
                    <w:t>PDQ symptoms domain score</w:t>
                  </w:r>
                  <w:r>
                    <w:rPr>
                      <w:sz w:val="16"/>
                      <w:szCs w:val="16"/>
                    </w:rPr>
                    <w:t>**</w:t>
                  </w:r>
                </w:p>
              </w:tc>
              <w:tc>
                <w:tcPr>
                  <w:tcW w:w="1248" w:type="dxa"/>
                  <w:tcBorders>
                    <w:left w:val="nil"/>
                    <w:right w:val="nil"/>
                  </w:tcBorders>
                  <w:vAlign w:val="center"/>
                </w:tcPr>
                <w:p w:rsidR="008B45F9" w:rsidRDefault="008B45F9" w:rsidP="00260946">
                  <w:pPr>
                    <w:pStyle w:val="NoSpacing"/>
                    <w:jc w:val="center"/>
                    <w:rPr>
                      <w:sz w:val="16"/>
                      <w:szCs w:val="16"/>
                    </w:rPr>
                  </w:pPr>
                  <w:r>
                    <w:rPr>
                      <w:sz w:val="16"/>
                      <w:szCs w:val="16"/>
                    </w:rPr>
                    <w:t>-2.9±5.0*</w:t>
                  </w:r>
                </w:p>
              </w:tc>
              <w:tc>
                <w:tcPr>
                  <w:tcW w:w="1249" w:type="dxa"/>
                  <w:tcBorders>
                    <w:left w:val="nil"/>
                    <w:right w:val="nil"/>
                  </w:tcBorders>
                  <w:vAlign w:val="center"/>
                </w:tcPr>
                <w:p w:rsidR="008B45F9" w:rsidRDefault="008B45F9" w:rsidP="00260946">
                  <w:pPr>
                    <w:pStyle w:val="NoSpacing"/>
                    <w:jc w:val="center"/>
                    <w:rPr>
                      <w:sz w:val="16"/>
                      <w:szCs w:val="16"/>
                    </w:rPr>
                  </w:pPr>
                  <w:r>
                    <w:rPr>
                      <w:sz w:val="16"/>
                      <w:szCs w:val="16"/>
                    </w:rPr>
                    <w:t>-1.3±4.6</w:t>
                  </w:r>
                </w:p>
              </w:tc>
            </w:tr>
            <w:tr w:rsidR="00FB52E7" w:rsidTr="001434C5">
              <w:tc>
                <w:tcPr>
                  <w:tcW w:w="1890" w:type="dxa"/>
                  <w:tcBorders>
                    <w:left w:val="nil"/>
                    <w:right w:val="nil"/>
                  </w:tcBorders>
                </w:tcPr>
                <w:p w:rsidR="00FB52E7" w:rsidRDefault="00FB52E7" w:rsidP="00F001A5">
                  <w:pPr>
                    <w:pStyle w:val="NoSpacing"/>
                    <w:rPr>
                      <w:sz w:val="16"/>
                      <w:szCs w:val="16"/>
                    </w:rPr>
                  </w:pPr>
                  <w:r>
                    <w:rPr>
                      <w:sz w:val="16"/>
                      <w:szCs w:val="16"/>
                    </w:rPr>
                    <w:t>IIEF overall satisfaction</w:t>
                  </w:r>
                  <w:r w:rsidR="000805FB" w:rsidRPr="000805FB">
                    <w:rPr>
                      <w:sz w:val="20"/>
                      <w:szCs w:val="20"/>
                    </w:rPr>
                    <w:t>ᴽ</w:t>
                  </w:r>
                </w:p>
              </w:tc>
              <w:tc>
                <w:tcPr>
                  <w:tcW w:w="1248" w:type="dxa"/>
                  <w:tcBorders>
                    <w:left w:val="nil"/>
                    <w:right w:val="nil"/>
                  </w:tcBorders>
                  <w:vAlign w:val="center"/>
                </w:tcPr>
                <w:p w:rsidR="00FB52E7" w:rsidRDefault="00FB52E7" w:rsidP="00260946">
                  <w:pPr>
                    <w:pStyle w:val="NoSpacing"/>
                    <w:jc w:val="center"/>
                    <w:rPr>
                      <w:sz w:val="16"/>
                      <w:szCs w:val="16"/>
                    </w:rPr>
                  </w:pPr>
                </w:p>
              </w:tc>
              <w:tc>
                <w:tcPr>
                  <w:tcW w:w="1249" w:type="dxa"/>
                  <w:tcBorders>
                    <w:left w:val="nil"/>
                    <w:right w:val="nil"/>
                  </w:tcBorders>
                  <w:vAlign w:val="center"/>
                </w:tcPr>
                <w:p w:rsidR="00FB52E7" w:rsidRDefault="00FB52E7" w:rsidP="00260946">
                  <w:pPr>
                    <w:pStyle w:val="NoSpacing"/>
                    <w:jc w:val="center"/>
                    <w:rPr>
                      <w:sz w:val="16"/>
                      <w:szCs w:val="16"/>
                    </w:rPr>
                  </w:pPr>
                </w:p>
              </w:tc>
            </w:tr>
            <w:tr w:rsidR="00FB52E7" w:rsidTr="001434C5">
              <w:tc>
                <w:tcPr>
                  <w:tcW w:w="1890" w:type="dxa"/>
                  <w:tcBorders>
                    <w:left w:val="nil"/>
                    <w:right w:val="nil"/>
                  </w:tcBorders>
                </w:tcPr>
                <w:p w:rsidR="00FB52E7" w:rsidRDefault="00FB52E7" w:rsidP="00F001A5">
                  <w:pPr>
                    <w:pStyle w:val="NoSpacing"/>
                    <w:rPr>
                      <w:sz w:val="16"/>
                      <w:szCs w:val="16"/>
                    </w:rPr>
                  </w:pPr>
                  <w:r>
                    <w:rPr>
                      <w:sz w:val="16"/>
                      <w:szCs w:val="16"/>
                    </w:rPr>
                    <w:t>Composite responder (%</w:t>
                  </w:r>
                  <w:proofErr w:type="gramStart"/>
                  <w:r>
                    <w:rPr>
                      <w:sz w:val="16"/>
                      <w:szCs w:val="16"/>
                    </w:rPr>
                    <w:t>)</w:t>
                  </w:r>
                  <w:r w:rsidR="0006613E">
                    <w:rPr>
                      <w:sz w:val="16"/>
                      <w:szCs w:val="16"/>
                    </w:rPr>
                    <w:t>¶</w:t>
                  </w:r>
                  <w:proofErr w:type="gramEnd"/>
                </w:p>
              </w:tc>
              <w:tc>
                <w:tcPr>
                  <w:tcW w:w="1248" w:type="dxa"/>
                  <w:tcBorders>
                    <w:left w:val="nil"/>
                    <w:right w:val="nil"/>
                  </w:tcBorders>
                  <w:vAlign w:val="center"/>
                </w:tcPr>
                <w:p w:rsidR="00FB52E7" w:rsidRDefault="00FB52E7" w:rsidP="00260946">
                  <w:pPr>
                    <w:pStyle w:val="NoSpacing"/>
                    <w:jc w:val="center"/>
                    <w:rPr>
                      <w:sz w:val="16"/>
                      <w:szCs w:val="16"/>
                    </w:rPr>
                  </w:pPr>
                  <w:r>
                    <w:rPr>
                      <w:sz w:val="16"/>
                      <w:szCs w:val="16"/>
                    </w:rPr>
                    <w:t>46.6*</w:t>
                  </w:r>
                </w:p>
              </w:tc>
              <w:tc>
                <w:tcPr>
                  <w:tcW w:w="1249" w:type="dxa"/>
                  <w:tcBorders>
                    <w:left w:val="nil"/>
                    <w:right w:val="nil"/>
                  </w:tcBorders>
                  <w:vAlign w:val="center"/>
                </w:tcPr>
                <w:p w:rsidR="00FB52E7" w:rsidRDefault="00FB52E7" w:rsidP="00260946">
                  <w:pPr>
                    <w:pStyle w:val="NoSpacing"/>
                    <w:jc w:val="center"/>
                    <w:rPr>
                      <w:sz w:val="16"/>
                      <w:szCs w:val="16"/>
                    </w:rPr>
                  </w:pPr>
                  <w:r>
                    <w:rPr>
                      <w:sz w:val="16"/>
                      <w:szCs w:val="16"/>
                    </w:rPr>
                    <w:t>28</w:t>
                  </w:r>
                </w:p>
              </w:tc>
            </w:tr>
            <w:tr w:rsidR="00FB52E7" w:rsidTr="001434C5">
              <w:tc>
                <w:tcPr>
                  <w:tcW w:w="1890" w:type="dxa"/>
                  <w:tcBorders>
                    <w:left w:val="nil"/>
                    <w:right w:val="nil"/>
                  </w:tcBorders>
                </w:tcPr>
                <w:p w:rsidR="00FB52E7" w:rsidRDefault="00FB52E7" w:rsidP="00F001A5">
                  <w:pPr>
                    <w:pStyle w:val="NoSpacing"/>
                    <w:rPr>
                      <w:sz w:val="16"/>
                      <w:szCs w:val="16"/>
                    </w:rPr>
                  </w:pPr>
                  <w:r w:rsidRPr="0006613E">
                    <w:rPr>
                      <w:sz w:val="16"/>
                      <w:szCs w:val="16"/>
                    </w:rPr>
                    <w:t>Δ penile plaque consistency</w:t>
                  </w:r>
                  <w:r w:rsidR="006010E5">
                    <w:rPr>
                      <w:sz w:val="16"/>
                      <w:szCs w:val="16"/>
                    </w:rPr>
                    <w:t xml:space="preserve"> </w:t>
                  </w:r>
                  <w:r w:rsidR="0006613E" w:rsidRPr="0006613E">
                    <w:rPr>
                      <w:sz w:val="20"/>
                      <w:szCs w:val="20"/>
                    </w:rPr>
                    <w:t>ᵻ</w:t>
                  </w:r>
                </w:p>
              </w:tc>
              <w:tc>
                <w:tcPr>
                  <w:tcW w:w="1248" w:type="dxa"/>
                  <w:tcBorders>
                    <w:left w:val="nil"/>
                    <w:right w:val="nil"/>
                  </w:tcBorders>
                  <w:vAlign w:val="center"/>
                </w:tcPr>
                <w:p w:rsidR="00FB52E7" w:rsidRDefault="0006613E" w:rsidP="00260946">
                  <w:pPr>
                    <w:pStyle w:val="NoSpacing"/>
                    <w:jc w:val="center"/>
                    <w:rPr>
                      <w:sz w:val="16"/>
                      <w:szCs w:val="16"/>
                    </w:rPr>
                  </w:pPr>
                  <w:r>
                    <w:rPr>
                      <w:sz w:val="16"/>
                      <w:szCs w:val="16"/>
                    </w:rPr>
                    <w:t>-0.8±1.0*</w:t>
                  </w:r>
                </w:p>
              </w:tc>
              <w:tc>
                <w:tcPr>
                  <w:tcW w:w="1249" w:type="dxa"/>
                  <w:tcBorders>
                    <w:left w:val="nil"/>
                    <w:right w:val="nil"/>
                  </w:tcBorders>
                  <w:vAlign w:val="center"/>
                </w:tcPr>
                <w:p w:rsidR="00FB52E7" w:rsidRDefault="0006613E" w:rsidP="00260946">
                  <w:pPr>
                    <w:pStyle w:val="NoSpacing"/>
                    <w:jc w:val="center"/>
                    <w:rPr>
                      <w:sz w:val="16"/>
                      <w:szCs w:val="16"/>
                    </w:rPr>
                  </w:pPr>
                  <w:r>
                    <w:rPr>
                      <w:sz w:val="16"/>
                      <w:szCs w:val="16"/>
                    </w:rPr>
                    <w:t>-0.5±0.9</w:t>
                  </w:r>
                </w:p>
              </w:tc>
            </w:tr>
            <w:tr w:rsidR="00D01122" w:rsidTr="001434C5">
              <w:tc>
                <w:tcPr>
                  <w:tcW w:w="1890" w:type="dxa"/>
                  <w:tcBorders>
                    <w:left w:val="nil"/>
                    <w:right w:val="nil"/>
                  </w:tcBorders>
                </w:tcPr>
                <w:p w:rsidR="00D01122" w:rsidRDefault="00D01122" w:rsidP="00F001A5">
                  <w:pPr>
                    <w:pStyle w:val="NoSpacing"/>
                    <w:rPr>
                      <w:sz w:val="16"/>
                      <w:szCs w:val="16"/>
                    </w:rPr>
                  </w:pPr>
                  <w:r>
                    <w:rPr>
                      <w:sz w:val="16"/>
                      <w:szCs w:val="16"/>
                    </w:rPr>
                    <w:t>Penile length (cm)</w:t>
                  </w:r>
                </w:p>
              </w:tc>
              <w:tc>
                <w:tcPr>
                  <w:tcW w:w="1248" w:type="dxa"/>
                  <w:tcBorders>
                    <w:left w:val="nil"/>
                    <w:right w:val="nil"/>
                  </w:tcBorders>
                  <w:vAlign w:val="center"/>
                </w:tcPr>
                <w:p w:rsidR="00D01122" w:rsidRDefault="00D01122" w:rsidP="00260946">
                  <w:pPr>
                    <w:pStyle w:val="NoSpacing"/>
                    <w:jc w:val="center"/>
                    <w:rPr>
                      <w:sz w:val="16"/>
                      <w:szCs w:val="16"/>
                    </w:rPr>
                  </w:pPr>
                  <w:r>
                    <w:rPr>
                      <w:sz w:val="16"/>
                      <w:szCs w:val="16"/>
                    </w:rPr>
                    <w:t>0.4±1.3</w:t>
                  </w:r>
                </w:p>
              </w:tc>
              <w:tc>
                <w:tcPr>
                  <w:tcW w:w="1249" w:type="dxa"/>
                  <w:tcBorders>
                    <w:left w:val="nil"/>
                    <w:right w:val="nil"/>
                  </w:tcBorders>
                  <w:vAlign w:val="center"/>
                </w:tcPr>
                <w:p w:rsidR="00D01122" w:rsidRDefault="00D01122" w:rsidP="00260946">
                  <w:pPr>
                    <w:pStyle w:val="NoSpacing"/>
                    <w:jc w:val="center"/>
                    <w:rPr>
                      <w:sz w:val="16"/>
                      <w:szCs w:val="16"/>
                    </w:rPr>
                  </w:pPr>
                  <w:r>
                    <w:rPr>
                      <w:sz w:val="16"/>
                      <w:szCs w:val="16"/>
                    </w:rPr>
                    <w:t>0.2±1.3</w:t>
                  </w:r>
                </w:p>
              </w:tc>
            </w:tr>
            <w:tr w:rsidR="00D01122" w:rsidTr="001434C5">
              <w:tc>
                <w:tcPr>
                  <w:tcW w:w="1890" w:type="dxa"/>
                  <w:tcBorders>
                    <w:left w:val="nil"/>
                    <w:right w:val="nil"/>
                  </w:tcBorders>
                </w:tcPr>
                <w:p w:rsidR="00D01122" w:rsidRDefault="00D01122" w:rsidP="00F001A5">
                  <w:pPr>
                    <w:pStyle w:val="NoSpacing"/>
                    <w:rPr>
                      <w:sz w:val="16"/>
                      <w:szCs w:val="16"/>
                    </w:rPr>
                  </w:pPr>
                  <w:r>
                    <w:rPr>
                      <w:sz w:val="16"/>
                      <w:szCs w:val="16"/>
                    </w:rPr>
                    <w:t>PDQ penile pain score</w:t>
                  </w:r>
                  <w:r w:rsidR="0006613E">
                    <w:rPr>
                      <w:sz w:val="16"/>
                      <w:szCs w:val="16"/>
                    </w:rPr>
                    <w:t>^</w:t>
                  </w:r>
                </w:p>
              </w:tc>
              <w:tc>
                <w:tcPr>
                  <w:tcW w:w="1248" w:type="dxa"/>
                  <w:tcBorders>
                    <w:left w:val="nil"/>
                    <w:right w:val="nil"/>
                  </w:tcBorders>
                  <w:vAlign w:val="center"/>
                </w:tcPr>
                <w:p w:rsidR="00D01122" w:rsidRDefault="0006613E" w:rsidP="00260946">
                  <w:pPr>
                    <w:pStyle w:val="NoSpacing"/>
                    <w:jc w:val="center"/>
                    <w:rPr>
                      <w:sz w:val="16"/>
                      <w:szCs w:val="16"/>
                    </w:rPr>
                  </w:pPr>
                  <w:r>
                    <w:rPr>
                      <w:sz w:val="16"/>
                      <w:szCs w:val="16"/>
                    </w:rPr>
                    <w:t>-4.4±5.6</w:t>
                  </w:r>
                </w:p>
              </w:tc>
              <w:tc>
                <w:tcPr>
                  <w:tcW w:w="1249" w:type="dxa"/>
                  <w:tcBorders>
                    <w:left w:val="nil"/>
                    <w:right w:val="nil"/>
                  </w:tcBorders>
                  <w:vAlign w:val="center"/>
                </w:tcPr>
                <w:p w:rsidR="00D01122" w:rsidRDefault="0006613E" w:rsidP="00260946">
                  <w:pPr>
                    <w:pStyle w:val="NoSpacing"/>
                    <w:jc w:val="center"/>
                    <w:rPr>
                      <w:sz w:val="16"/>
                      <w:szCs w:val="16"/>
                    </w:rPr>
                  </w:pPr>
                  <w:r>
                    <w:rPr>
                      <w:sz w:val="16"/>
                      <w:szCs w:val="16"/>
                    </w:rPr>
                    <w:t>-4.3±4.8</w:t>
                  </w:r>
                </w:p>
              </w:tc>
            </w:tr>
          </w:tbl>
          <w:p w:rsidR="008B45F9" w:rsidRDefault="008B45F9" w:rsidP="00DC48FD">
            <w:pPr>
              <w:pStyle w:val="NoSpacing"/>
              <w:rPr>
                <w:sz w:val="16"/>
                <w:szCs w:val="16"/>
              </w:rPr>
            </w:pPr>
            <w:r>
              <w:rPr>
                <w:sz w:val="16"/>
                <w:szCs w:val="16"/>
              </w:rPr>
              <w:t>*Significant vs. placebo</w:t>
            </w:r>
          </w:p>
          <w:p w:rsidR="0098050C" w:rsidRDefault="008B45F9" w:rsidP="00DC48FD">
            <w:pPr>
              <w:pStyle w:val="NoSpacing"/>
              <w:rPr>
                <w:sz w:val="16"/>
                <w:szCs w:val="16"/>
              </w:rPr>
            </w:pPr>
            <w:r>
              <w:rPr>
                <w:sz w:val="16"/>
                <w:szCs w:val="16"/>
              </w:rPr>
              <w:t>ⱡ</w:t>
            </w:r>
            <w:r w:rsidR="00DC48FD">
              <w:rPr>
                <w:sz w:val="16"/>
                <w:szCs w:val="16"/>
              </w:rPr>
              <w:t>PDQ bother domain: composite score of concern about erection pain, erection appearance, impact on intercourse, frequency of intercourse</w:t>
            </w:r>
            <w:r w:rsidR="00265084">
              <w:rPr>
                <w:sz w:val="16"/>
                <w:szCs w:val="16"/>
              </w:rPr>
              <w:t xml:space="preserve"> (score range 0-16)</w:t>
            </w:r>
          </w:p>
          <w:p w:rsidR="00FB52E7" w:rsidRDefault="00FB52E7" w:rsidP="00DC48FD">
            <w:pPr>
              <w:pStyle w:val="NoSpacing"/>
              <w:rPr>
                <w:sz w:val="16"/>
                <w:szCs w:val="16"/>
              </w:rPr>
            </w:pPr>
            <w:r>
              <w:rPr>
                <w:sz w:val="16"/>
                <w:szCs w:val="16"/>
              </w:rPr>
              <w:t>§PD improved in small but important way, or modestly or much improved after treatment</w:t>
            </w:r>
          </w:p>
          <w:p w:rsidR="00FB52E7" w:rsidRDefault="00FB52E7" w:rsidP="00DC48FD">
            <w:pPr>
              <w:pStyle w:val="NoSpacing"/>
              <w:rPr>
                <w:sz w:val="16"/>
                <w:szCs w:val="16"/>
              </w:rPr>
            </w:pPr>
            <w:r>
              <w:rPr>
                <w:sz w:val="16"/>
                <w:szCs w:val="16"/>
              </w:rPr>
              <w:t>**PDQ physical and psychological symptoms domain (6 questions; total possible score of 0-30)</w:t>
            </w:r>
          </w:p>
          <w:p w:rsidR="00C4495B" w:rsidRDefault="000805FB" w:rsidP="00DC48FD">
            <w:pPr>
              <w:pStyle w:val="NoSpacing"/>
              <w:rPr>
                <w:sz w:val="16"/>
                <w:szCs w:val="16"/>
              </w:rPr>
            </w:pPr>
            <w:r w:rsidRPr="000805FB">
              <w:rPr>
                <w:sz w:val="20"/>
                <w:szCs w:val="20"/>
              </w:rPr>
              <w:t>ᴽ</w:t>
            </w:r>
            <w:r w:rsidR="00C4495B">
              <w:rPr>
                <w:sz w:val="16"/>
                <w:szCs w:val="16"/>
              </w:rPr>
              <w:t>IIEF=international index of erectile function</w:t>
            </w:r>
          </w:p>
          <w:p w:rsidR="0006613E" w:rsidRDefault="0006613E" w:rsidP="00DC48FD">
            <w:pPr>
              <w:pStyle w:val="NoSpacing"/>
              <w:rPr>
                <w:sz w:val="16"/>
                <w:szCs w:val="16"/>
              </w:rPr>
            </w:pPr>
            <w:r>
              <w:rPr>
                <w:sz w:val="16"/>
                <w:szCs w:val="16"/>
              </w:rPr>
              <w:t>¶</w:t>
            </w:r>
            <w:r w:rsidR="00E610CE">
              <w:rPr>
                <w:sz w:val="16"/>
                <w:szCs w:val="16"/>
              </w:rPr>
              <w:t xml:space="preserve">showing both ≥20% improvement in penile curvature </w:t>
            </w:r>
            <w:r w:rsidR="00E610CE" w:rsidRPr="00E610CE">
              <w:rPr>
                <w:sz w:val="16"/>
                <w:szCs w:val="16"/>
                <w:u w:val="single"/>
              </w:rPr>
              <w:t>and</w:t>
            </w:r>
            <w:r w:rsidR="00E610CE">
              <w:rPr>
                <w:sz w:val="16"/>
                <w:szCs w:val="16"/>
              </w:rPr>
              <w:t xml:space="preserve"> improvement of ≥1 in the symptom bother PDQ score or change from reporting no sexual activity at screening to reporting sexual activity</w:t>
            </w:r>
          </w:p>
          <w:p w:rsidR="0006613E" w:rsidRDefault="0006613E" w:rsidP="00DC48FD">
            <w:pPr>
              <w:pStyle w:val="NoSpacing"/>
              <w:rPr>
                <w:sz w:val="16"/>
                <w:szCs w:val="16"/>
              </w:rPr>
            </w:pPr>
            <w:r w:rsidRPr="0006613E">
              <w:rPr>
                <w:sz w:val="20"/>
                <w:szCs w:val="20"/>
              </w:rPr>
              <w:t>ᵻ</w:t>
            </w:r>
            <w:r>
              <w:rPr>
                <w:sz w:val="16"/>
                <w:szCs w:val="16"/>
              </w:rPr>
              <w:t>Plaque consistency scale: 5=hard, 4=firm throughout, 3=moderate firmness, 2=soft, 1=</w:t>
            </w:r>
            <w:proofErr w:type="spellStart"/>
            <w:r>
              <w:rPr>
                <w:sz w:val="16"/>
                <w:szCs w:val="16"/>
              </w:rPr>
              <w:t>nonpalpable</w:t>
            </w:r>
            <w:proofErr w:type="spellEnd"/>
          </w:p>
          <w:p w:rsidR="0006613E" w:rsidRPr="0098050C" w:rsidRDefault="0006613E" w:rsidP="00DC48FD">
            <w:pPr>
              <w:pStyle w:val="NoSpacing"/>
              <w:rPr>
                <w:sz w:val="16"/>
                <w:szCs w:val="16"/>
              </w:rPr>
            </w:pPr>
            <w:r>
              <w:rPr>
                <w:sz w:val="16"/>
                <w:szCs w:val="16"/>
              </w:rPr>
              <w:t>^subgroup of patients wit</w:t>
            </w:r>
            <w:r w:rsidR="00E719A8">
              <w:rPr>
                <w:sz w:val="16"/>
                <w:szCs w:val="16"/>
              </w:rPr>
              <w:t>h pain score &gt;4 at baseline (CCH</w:t>
            </w:r>
            <w:r>
              <w:rPr>
                <w:sz w:val="16"/>
                <w:szCs w:val="16"/>
              </w:rPr>
              <w:t xml:space="preserve">  n=164; PBO n=91)</w:t>
            </w:r>
          </w:p>
        </w:tc>
      </w:tr>
    </w:tbl>
    <w:p w:rsidR="0098050C" w:rsidRDefault="0098050C" w:rsidP="00F001A5">
      <w:pPr>
        <w:pStyle w:val="NoSpacing"/>
        <w:rPr>
          <w:sz w:val="20"/>
          <w:szCs w:val="20"/>
        </w:rPr>
      </w:pPr>
    </w:p>
    <w:p w:rsidR="005B3826" w:rsidRDefault="005B3826" w:rsidP="00F001A5">
      <w:pPr>
        <w:pStyle w:val="NoSpacing"/>
        <w:rPr>
          <w:sz w:val="20"/>
          <w:szCs w:val="20"/>
        </w:rPr>
      </w:pPr>
    </w:p>
    <w:p w:rsidR="005B3826" w:rsidRPr="008872CD" w:rsidRDefault="005B3826" w:rsidP="00F001A5">
      <w:pPr>
        <w:pStyle w:val="NoSpacing"/>
        <w:rPr>
          <w:sz w:val="20"/>
          <w:szCs w:val="20"/>
        </w:rPr>
      </w:pPr>
    </w:p>
    <w:sectPr w:rsidR="005B3826" w:rsidRPr="008872CD" w:rsidSect="005455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26" w:rsidRDefault="00D04C26" w:rsidP="00D04C26">
      <w:pPr>
        <w:spacing w:after="0" w:line="240" w:lineRule="auto"/>
      </w:pPr>
      <w:r>
        <w:separator/>
      </w:r>
    </w:p>
  </w:endnote>
  <w:endnote w:type="continuationSeparator" w:id="0">
    <w:p w:rsidR="00D04C26" w:rsidRDefault="00D04C26" w:rsidP="00D0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26" w:rsidRPr="00CB44F2" w:rsidRDefault="00780CF0" w:rsidP="00D04C26">
    <w:pPr>
      <w:pStyle w:val="Footer"/>
      <w:pBdr>
        <w:top w:val="single" w:sz="4" w:space="1" w:color="auto"/>
      </w:pBdr>
      <w:shd w:val="clear" w:color="auto" w:fill="F3F3F3"/>
      <w:ind w:right="-43"/>
      <w:rPr>
        <w:rFonts w:ascii="Arial" w:hAnsi="Arial" w:cs="Arial"/>
        <w:sz w:val="16"/>
        <w:szCs w:val="16"/>
      </w:rPr>
    </w:pPr>
    <w:r>
      <w:rPr>
        <w:rFonts w:ascii="Arial" w:hAnsi="Arial" w:cs="Arial"/>
        <w:sz w:val="16"/>
        <w:szCs w:val="16"/>
      </w:rPr>
      <w:t>April</w:t>
    </w:r>
    <w:r w:rsidR="00051F6B">
      <w:rPr>
        <w:rFonts w:ascii="Arial" w:hAnsi="Arial" w:cs="Arial"/>
        <w:sz w:val="16"/>
        <w:szCs w:val="16"/>
      </w:rPr>
      <w:t xml:space="preserve"> </w:t>
    </w:r>
    <w:r w:rsidR="00D04C26">
      <w:rPr>
        <w:rFonts w:ascii="Arial" w:hAnsi="Arial" w:cs="Arial"/>
        <w:sz w:val="16"/>
        <w:szCs w:val="16"/>
      </w:rPr>
      <w:t>2014</w:t>
    </w:r>
    <w:r w:rsidR="00D04C26" w:rsidRPr="00CB44F2">
      <w:rPr>
        <w:rFonts w:ascii="Arial" w:hAnsi="Arial" w:cs="Arial"/>
        <w:sz w:val="16"/>
        <w:szCs w:val="16"/>
      </w:rPr>
      <w:t xml:space="preserve">                                  </w:t>
    </w:r>
  </w:p>
  <w:p w:rsidR="00D04C26" w:rsidRPr="00CB44F2" w:rsidRDefault="00D04C26" w:rsidP="00D04C26">
    <w:pPr>
      <w:pStyle w:val="Footer"/>
      <w:pBdr>
        <w:top w:val="single" w:sz="4" w:space="1" w:color="auto"/>
      </w:pBdr>
      <w:shd w:val="clear" w:color="auto" w:fill="F3F3F3"/>
      <w:ind w:right="-43"/>
      <w:rPr>
        <w:rFonts w:ascii="Arial" w:hAnsi="Arial" w:cs="Arial"/>
        <w:sz w:val="16"/>
        <w:szCs w:val="16"/>
      </w:rPr>
    </w:pPr>
    <w:r w:rsidRPr="00CB44F2">
      <w:rPr>
        <w:rFonts w:ascii="Arial" w:hAnsi="Arial" w:cs="Arial"/>
        <w:sz w:val="16"/>
        <w:szCs w:val="16"/>
      </w:rPr>
      <w:t xml:space="preserve">Updated versions may be found at </w:t>
    </w:r>
    <w:hyperlink r:id="rId1" w:history="1">
      <w:r w:rsidRPr="00CB44F2">
        <w:rPr>
          <w:rStyle w:val="Hyperlink"/>
          <w:rFonts w:ascii="Arial" w:hAnsi="Arial" w:cs="Arial"/>
          <w:sz w:val="16"/>
          <w:szCs w:val="16"/>
        </w:rPr>
        <w:t>http://www.pbm.va.gov</w:t>
      </w:r>
    </w:hyperlink>
    <w:r w:rsidRPr="00CB44F2">
      <w:rPr>
        <w:rFonts w:ascii="Arial" w:hAnsi="Arial" w:cs="Arial"/>
        <w:sz w:val="16"/>
        <w:szCs w:val="16"/>
      </w:rPr>
      <w:t xml:space="preserve"> or </w:t>
    </w:r>
    <w:hyperlink r:id="rId2" w:history="1">
      <w:r w:rsidRPr="00CB44F2">
        <w:rPr>
          <w:rStyle w:val="Hyperlink"/>
          <w:rFonts w:ascii="Arial" w:hAnsi="Arial" w:cs="Arial"/>
          <w:sz w:val="16"/>
          <w:szCs w:val="16"/>
        </w:rPr>
        <w:t>http://vaww.pbm.va.gov</w:t>
      </w:r>
    </w:hyperlink>
    <w:r w:rsidRPr="00CB44F2">
      <w:rPr>
        <w:rFonts w:ascii="Arial" w:hAnsi="Arial" w:cs="Arial"/>
        <w:sz w:val="16"/>
        <w:szCs w:val="16"/>
      </w:rPr>
      <w:t xml:space="preserve">  </w:t>
    </w:r>
  </w:p>
  <w:p w:rsidR="00D04C26" w:rsidRDefault="00D04C26" w:rsidP="00D04C26">
    <w:pPr>
      <w:pStyle w:val="Footer"/>
      <w:tabs>
        <w:tab w:val="center" w:pos="5184"/>
        <w:tab w:val="right" w:pos="10368"/>
      </w:tabs>
      <w:rPr>
        <w:rFonts w:ascii="Arial" w:hAnsi="Arial" w:cs="Arial"/>
        <w:sz w:val="16"/>
        <w:szCs w:val="16"/>
      </w:rPr>
    </w:pPr>
    <w:r w:rsidRPr="00844590">
      <w:rPr>
        <w:rFonts w:ascii="Arial" w:hAnsi="Arial" w:cs="Arial"/>
        <w:sz w:val="16"/>
        <w:szCs w:val="16"/>
      </w:rPr>
      <w:tab/>
    </w:r>
    <w:r w:rsidRPr="00844590">
      <w:rPr>
        <w:rFonts w:ascii="Arial" w:hAnsi="Arial" w:cs="Arial"/>
        <w:sz w:val="16"/>
        <w:szCs w:val="16"/>
      </w:rPr>
      <w:tab/>
    </w:r>
    <w:r>
      <w:rPr>
        <w:rFonts w:ascii="Arial" w:hAnsi="Arial" w:cs="Arial"/>
        <w:noProof/>
        <w:sz w:val="16"/>
        <w:szCs w:val="16"/>
      </w:rPr>
      <mc:AlternateContent>
        <mc:Choice Requires="wps">
          <w:drawing>
            <wp:inline distT="0" distB="0" distL="0" distR="0" wp14:anchorId="7370DC65" wp14:editId="4BC40BBF">
              <wp:extent cx="565785" cy="19177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D04C26" w:rsidRPr="006313D3" w:rsidRDefault="00D04C26" w:rsidP="00D04C26">
                          <w:pPr>
                            <w:pBdr>
                              <w:top w:val="single" w:sz="4" w:space="1" w:color="7F7F7F"/>
                            </w:pBdr>
                            <w:jc w:val="center"/>
                            <w:rPr>
                              <w:rFonts w:ascii="Arial" w:hAnsi="Arial" w:cs="Arial"/>
                              <w:color w:val="C0504D"/>
                              <w:sz w:val="16"/>
                              <w:szCs w:val="16"/>
                            </w:rPr>
                          </w:pPr>
                          <w:r w:rsidRPr="006313D3">
                            <w:rPr>
                              <w:rFonts w:ascii="Arial" w:hAnsi="Arial" w:cs="Arial"/>
                              <w:sz w:val="16"/>
                              <w:szCs w:val="16"/>
                            </w:rPr>
                            <w:fldChar w:fldCharType="begin"/>
                          </w:r>
                          <w:r w:rsidRPr="006313D3">
                            <w:rPr>
                              <w:rFonts w:ascii="Arial" w:hAnsi="Arial" w:cs="Arial"/>
                              <w:sz w:val="16"/>
                              <w:szCs w:val="16"/>
                            </w:rPr>
                            <w:instrText xml:space="preserve"> PAGE   \* MERGEFORMAT </w:instrText>
                          </w:r>
                          <w:r w:rsidRPr="006313D3">
                            <w:rPr>
                              <w:rFonts w:ascii="Arial" w:hAnsi="Arial" w:cs="Arial"/>
                              <w:sz w:val="16"/>
                              <w:szCs w:val="16"/>
                            </w:rPr>
                            <w:fldChar w:fldCharType="separate"/>
                          </w:r>
                          <w:r w:rsidR="00970A3B" w:rsidRPr="00970A3B">
                            <w:rPr>
                              <w:rFonts w:ascii="Arial" w:hAnsi="Arial" w:cs="Arial"/>
                              <w:noProof/>
                              <w:color w:val="C0504D"/>
                              <w:sz w:val="16"/>
                              <w:szCs w:val="16"/>
                            </w:rPr>
                            <w:t>5</w:t>
                          </w:r>
                          <w:r w:rsidRPr="006313D3">
                            <w:rPr>
                              <w:rFonts w:ascii="Arial" w:hAnsi="Arial" w:cs="Arial"/>
                              <w:sz w:val="16"/>
                              <w:szCs w:val="16"/>
                            </w:rPr>
                            <w:fldChar w:fldCharType="end"/>
                          </w:r>
                        </w:p>
                      </w:txbxContent>
                    </wps:txbx>
                    <wps:bodyPr rot="0" vert="horz" wrap="square" lIns="91440" tIns="0" rIns="91440" bIns="0" anchor="t" anchorCtr="0" upright="1">
                      <a:noAutofit/>
                    </wps:bodyPr>
                  </wps:wsp>
                </a:graphicData>
              </a:graphic>
            </wp:inline>
          </w:drawing>
        </mc:Choice>
        <mc:Fallback>
          <w:pict>
            <v:rect id="Rectangle 1"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" filled="f" fillcolor="#c0504d" stroked="f" strokecolor="#4f81bd" strokeweight="2.25pt">
              <v:textbox inset=",0,,0">
                <w:txbxContent>
                  <w:p w:rsidR="00D04C26" w:rsidRPr="006313D3" w:rsidRDefault="00D04C26" w:rsidP="00D04C26">
                    <w:pPr>
                      <w:pBdr>
                        <w:top w:val="single" w:sz="4" w:space="1" w:color="7F7F7F"/>
                      </w:pBdr>
                      <w:jc w:val="center"/>
                      <w:rPr>
                        <w:rFonts w:ascii="Arial" w:hAnsi="Arial" w:cs="Arial"/>
                        <w:color w:val="C0504D"/>
                        <w:sz w:val="16"/>
                        <w:szCs w:val="16"/>
                      </w:rPr>
                    </w:pPr>
                    <w:r w:rsidRPr="006313D3">
                      <w:rPr>
                        <w:rFonts w:ascii="Arial" w:hAnsi="Arial" w:cs="Arial"/>
                        <w:sz w:val="16"/>
                        <w:szCs w:val="16"/>
                      </w:rPr>
                      <w:fldChar w:fldCharType="begin"/>
                    </w:r>
                    <w:r w:rsidRPr="006313D3">
                      <w:rPr>
                        <w:rFonts w:ascii="Arial" w:hAnsi="Arial" w:cs="Arial"/>
                        <w:sz w:val="16"/>
                        <w:szCs w:val="16"/>
                      </w:rPr>
                      <w:instrText xml:space="preserve"> PAGE   \* MERGEFORMAT </w:instrText>
                    </w:r>
                    <w:r w:rsidRPr="006313D3">
                      <w:rPr>
                        <w:rFonts w:ascii="Arial" w:hAnsi="Arial" w:cs="Arial"/>
                        <w:sz w:val="16"/>
                        <w:szCs w:val="16"/>
                      </w:rPr>
                      <w:fldChar w:fldCharType="separate"/>
                    </w:r>
                    <w:r w:rsidR="00970A3B" w:rsidRPr="00970A3B">
                      <w:rPr>
                        <w:rFonts w:ascii="Arial" w:hAnsi="Arial" w:cs="Arial"/>
                        <w:noProof/>
                        <w:color w:val="C0504D"/>
                        <w:sz w:val="16"/>
                        <w:szCs w:val="16"/>
                      </w:rPr>
                      <w:t>5</w:t>
                    </w:r>
                    <w:r w:rsidRPr="006313D3">
                      <w:rPr>
                        <w:rFonts w:ascii="Arial" w:hAnsi="Arial" w:cs="Arial"/>
                        <w:sz w:val="16"/>
                        <w:szCs w:val="16"/>
                      </w:rPr>
                      <w:fldChar w:fldCharType="end"/>
                    </w:r>
                  </w:p>
                </w:txbxContent>
              </v:textbox>
              <w10:anchorlock/>
            </v:rect>
          </w:pict>
        </mc:Fallback>
      </mc:AlternateContent>
    </w:r>
  </w:p>
  <w:p w:rsidR="00D04C26" w:rsidRDefault="00D0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26" w:rsidRDefault="00D04C26" w:rsidP="00D04C26">
      <w:pPr>
        <w:spacing w:after="0" w:line="240" w:lineRule="auto"/>
      </w:pPr>
      <w:r>
        <w:separator/>
      </w:r>
    </w:p>
  </w:footnote>
  <w:footnote w:type="continuationSeparator" w:id="0">
    <w:p w:rsidR="00D04C26" w:rsidRDefault="00D04C26" w:rsidP="00D04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28" w:rsidRPr="00A93028" w:rsidRDefault="00A93028">
    <w:pPr>
      <w:pStyle w:val="Header"/>
      <w:rPr>
        <w:sz w:val="20"/>
        <w:szCs w:val="20"/>
      </w:rPr>
    </w:pPr>
    <w:r w:rsidRPr="00A93028">
      <w:rPr>
        <w:sz w:val="20"/>
        <w:szCs w:val="20"/>
      </w:rPr>
      <w:tab/>
      <w:t xml:space="preserve">                                 </w:t>
    </w:r>
    <w:r>
      <w:rPr>
        <w:sz w:val="20"/>
        <w:szCs w:val="20"/>
      </w:rPr>
      <w:t xml:space="preserve">                    </w:t>
    </w:r>
    <w:r w:rsidR="00DB1320">
      <w:rPr>
        <w:sz w:val="20"/>
        <w:szCs w:val="20"/>
      </w:rPr>
      <w:tab/>
    </w:r>
    <w:r>
      <w:rPr>
        <w:sz w:val="20"/>
        <w:szCs w:val="20"/>
      </w:rPr>
      <w:t xml:space="preserve"> </w:t>
    </w:r>
    <w:proofErr w:type="spellStart"/>
    <w:r>
      <w:rPr>
        <w:sz w:val="20"/>
        <w:szCs w:val="20"/>
      </w:rPr>
      <w:t>Xiaflex</w:t>
    </w:r>
    <w:proofErr w:type="spellEnd"/>
    <w:r w:rsidRPr="00A93028">
      <w:rPr>
        <w:sz w:val="20"/>
        <w:szCs w:val="20"/>
      </w:rPr>
      <w:t xml:space="preserve"> Monograph Addendum</w:t>
    </w:r>
  </w:p>
  <w:p w:rsidR="006960E8" w:rsidRDefault="00696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3E2"/>
    <w:multiLevelType w:val="hybridMultilevel"/>
    <w:tmpl w:val="582E6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2F61AF"/>
    <w:multiLevelType w:val="hybridMultilevel"/>
    <w:tmpl w:val="9DF2D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564698"/>
    <w:multiLevelType w:val="hybridMultilevel"/>
    <w:tmpl w:val="5CD6F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B90F76"/>
    <w:multiLevelType w:val="hybridMultilevel"/>
    <w:tmpl w:val="93F00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A7708E"/>
    <w:multiLevelType w:val="hybridMultilevel"/>
    <w:tmpl w:val="9878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2415D"/>
    <w:multiLevelType w:val="hybridMultilevel"/>
    <w:tmpl w:val="F5BAA184"/>
    <w:lvl w:ilvl="0" w:tplc="6838B868">
      <w:start w:val="1"/>
      <w:numFmt w:val="decimal"/>
      <w:lvlText w:val="%1."/>
      <w:lvlJc w:val="left"/>
      <w:pPr>
        <w:tabs>
          <w:tab w:val="num" w:pos="425"/>
        </w:tabs>
        <w:ind w:left="425"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FC81279"/>
    <w:multiLevelType w:val="hybridMultilevel"/>
    <w:tmpl w:val="A3880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0B2481"/>
    <w:multiLevelType w:val="hybridMultilevel"/>
    <w:tmpl w:val="38DA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26"/>
    <w:rsid w:val="00014B96"/>
    <w:rsid w:val="00017305"/>
    <w:rsid w:val="00027232"/>
    <w:rsid w:val="00043371"/>
    <w:rsid w:val="00051F6B"/>
    <w:rsid w:val="00057800"/>
    <w:rsid w:val="0006296D"/>
    <w:rsid w:val="00064238"/>
    <w:rsid w:val="0006613E"/>
    <w:rsid w:val="000805FB"/>
    <w:rsid w:val="00090FD0"/>
    <w:rsid w:val="000B4EF4"/>
    <w:rsid w:val="00101628"/>
    <w:rsid w:val="00112FD1"/>
    <w:rsid w:val="00121042"/>
    <w:rsid w:val="00141348"/>
    <w:rsid w:val="001434C5"/>
    <w:rsid w:val="00165458"/>
    <w:rsid w:val="001A598C"/>
    <w:rsid w:val="001B1842"/>
    <w:rsid w:val="001C20B6"/>
    <w:rsid w:val="001D5953"/>
    <w:rsid w:val="001E78F5"/>
    <w:rsid w:val="001F3D4C"/>
    <w:rsid w:val="002008A4"/>
    <w:rsid w:val="00207F65"/>
    <w:rsid w:val="002235EA"/>
    <w:rsid w:val="002271C6"/>
    <w:rsid w:val="00260946"/>
    <w:rsid w:val="00265084"/>
    <w:rsid w:val="0027003D"/>
    <w:rsid w:val="0029576A"/>
    <w:rsid w:val="002B2B5B"/>
    <w:rsid w:val="002C75C1"/>
    <w:rsid w:val="002C773E"/>
    <w:rsid w:val="002D2E89"/>
    <w:rsid w:val="002D7FB9"/>
    <w:rsid w:val="002F631A"/>
    <w:rsid w:val="003200F2"/>
    <w:rsid w:val="0039268C"/>
    <w:rsid w:val="003C24C6"/>
    <w:rsid w:val="003C5CAE"/>
    <w:rsid w:val="003D2017"/>
    <w:rsid w:val="003D4094"/>
    <w:rsid w:val="003E33A4"/>
    <w:rsid w:val="00412728"/>
    <w:rsid w:val="00414621"/>
    <w:rsid w:val="00420609"/>
    <w:rsid w:val="0049734D"/>
    <w:rsid w:val="004A4702"/>
    <w:rsid w:val="004D36C9"/>
    <w:rsid w:val="004F05E4"/>
    <w:rsid w:val="005009DA"/>
    <w:rsid w:val="00504FC3"/>
    <w:rsid w:val="005063F2"/>
    <w:rsid w:val="005100EB"/>
    <w:rsid w:val="005455D1"/>
    <w:rsid w:val="00547708"/>
    <w:rsid w:val="00561944"/>
    <w:rsid w:val="00592444"/>
    <w:rsid w:val="00592824"/>
    <w:rsid w:val="005B3826"/>
    <w:rsid w:val="005C2A36"/>
    <w:rsid w:val="005D072F"/>
    <w:rsid w:val="005D616C"/>
    <w:rsid w:val="005E5E37"/>
    <w:rsid w:val="005F2841"/>
    <w:rsid w:val="006010E5"/>
    <w:rsid w:val="00604F1C"/>
    <w:rsid w:val="00651E7D"/>
    <w:rsid w:val="006527F7"/>
    <w:rsid w:val="00671086"/>
    <w:rsid w:val="00686715"/>
    <w:rsid w:val="006960E8"/>
    <w:rsid w:val="006B4214"/>
    <w:rsid w:val="00705566"/>
    <w:rsid w:val="00741465"/>
    <w:rsid w:val="007543AA"/>
    <w:rsid w:val="00756138"/>
    <w:rsid w:val="00766F72"/>
    <w:rsid w:val="00780CF0"/>
    <w:rsid w:val="007A688D"/>
    <w:rsid w:val="007B6317"/>
    <w:rsid w:val="008061B6"/>
    <w:rsid w:val="00816B68"/>
    <w:rsid w:val="00863FE6"/>
    <w:rsid w:val="00871EBD"/>
    <w:rsid w:val="0087311B"/>
    <w:rsid w:val="00881E02"/>
    <w:rsid w:val="008A67F1"/>
    <w:rsid w:val="008B45F9"/>
    <w:rsid w:val="008C0041"/>
    <w:rsid w:val="009262D0"/>
    <w:rsid w:val="00946CBE"/>
    <w:rsid w:val="00970A3B"/>
    <w:rsid w:val="0098050C"/>
    <w:rsid w:val="009A4B17"/>
    <w:rsid w:val="009B4098"/>
    <w:rsid w:val="009C3AE6"/>
    <w:rsid w:val="00A40F7E"/>
    <w:rsid w:val="00A56541"/>
    <w:rsid w:val="00A63B0B"/>
    <w:rsid w:val="00A75959"/>
    <w:rsid w:val="00A7712A"/>
    <w:rsid w:val="00A93028"/>
    <w:rsid w:val="00AA65AC"/>
    <w:rsid w:val="00B13DE3"/>
    <w:rsid w:val="00B1588F"/>
    <w:rsid w:val="00B50A21"/>
    <w:rsid w:val="00B53A3D"/>
    <w:rsid w:val="00B56BD8"/>
    <w:rsid w:val="00B75B0C"/>
    <w:rsid w:val="00B9175A"/>
    <w:rsid w:val="00B92B93"/>
    <w:rsid w:val="00BC48C5"/>
    <w:rsid w:val="00BF54D2"/>
    <w:rsid w:val="00BF5AFC"/>
    <w:rsid w:val="00C11EAE"/>
    <w:rsid w:val="00C26CA8"/>
    <w:rsid w:val="00C4495B"/>
    <w:rsid w:val="00C6154E"/>
    <w:rsid w:val="00C840EE"/>
    <w:rsid w:val="00CA0E10"/>
    <w:rsid w:val="00CC2F46"/>
    <w:rsid w:val="00CD3360"/>
    <w:rsid w:val="00CE7986"/>
    <w:rsid w:val="00CF1EB1"/>
    <w:rsid w:val="00D01122"/>
    <w:rsid w:val="00D01509"/>
    <w:rsid w:val="00D04C26"/>
    <w:rsid w:val="00D11292"/>
    <w:rsid w:val="00D3393C"/>
    <w:rsid w:val="00D36787"/>
    <w:rsid w:val="00D57693"/>
    <w:rsid w:val="00D6019F"/>
    <w:rsid w:val="00D7079E"/>
    <w:rsid w:val="00DB1320"/>
    <w:rsid w:val="00DB314A"/>
    <w:rsid w:val="00DC48FD"/>
    <w:rsid w:val="00DD2BC8"/>
    <w:rsid w:val="00DF4EDA"/>
    <w:rsid w:val="00E435A6"/>
    <w:rsid w:val="00E610CE"/>
    <w:rsid w:val="00E70033"/>
    <w:rsid w:val="00E719A8"/>
    <w:rsid w:val="00E775BA"/>
    <w:rsid w:val="00E8034F"/>
    <w:rsid w:val="00E90D47"/>
    <w:rsid w:val="00E95991"/>
    <w:rsid w:val="00EC37F1"/>
    <w:rsid w:val="00EF7966"/>
    <w:rsid w:val="00F001A5"/>
    <w:rsid w:val="00F01221"/>
    <w:rsid w:val="00F025F4"/>
    <w:rsid w:val="00F06CB7"/>
    <w:rsid w:val="00F21B92"/>
    <w:rsid w:val="00F22266"/>
    <w:rsid w:val="00F72AFF"/>
    <w:rsid w:val="00F756AB"/>
    <w:rsid w:val="00F85598"/>
    <w:rsid w:val="00F95808"/>
    <w:rsid w:val="00FA23A3"/>
    <w:rsid w:val="00FB52E7"/>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82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E803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4C26"/>
    <w:pPr>
      <w:spacing w:after="0" w:line="240" w:lineRule="auto"/>
      <w:jc w:val="center"/>
    </w:pPr>
    <w:rPr>
      <w:rFonts w:ascii="Arial" w:eastAsia="Times New Roman" w:hAnsi="Arial" w:cs="Times New Roman"/>
      <w:b/>
      <w:color w:val="000000"/>
      <w:szCs w:val="20"/>
    </w:rPr>
  </w:style>
  <w:style w:type="character" w:customStyle="1" w:styleId="TitleChar">
    <w:name w:val="Title Char"/>
    <w:basedOn w:val="DefaultParagraphFont"/>
    <w:link w:val="Title"/>
    <w:rsid w:val="00D04C26"/>
    <w:rPr>
      <w:rFonts w:ascii="Arial" w:eastAsia="Times New Roman" w:hAnsi="Arial" w:cs="Times New Roman"/>
      <w:b/>
      <w:color w:val="000000"/>
      <w:szCs w:val="20"/>
    </w:rPr>
  </w:style>
  <w:style w:type="paragraph" w:styleId="Subtitle">
    <w:name w:val="Subtitle"/>
    <w:basedOn w:val="Normal"/>
    <w:link w:val="SubtitleChar"/>
    <w:qFormat/>
    <w:rsid w:val="00D04C26"/>
    <w:pPr>
      <w:spacing w:after="0" w:line="240" w:lineRule="auto"/>
      <w:jc w:val="center"/>
    </w:pPr>
    <w:rPr>
      <w:rFonts w:ascii="Arial" w:eastAsia="Times New Roman" w:hAnsi="Arial" w:cs="Times New Roman"/>
      <w:b/>
      <w:color w:val="000000"/>
      <w:szCs w:val="20"/>
    </w:rPr>
  </w:style>
  <w:style w:type="character" w:customStyle="1" w:styleId="SubtitleChar">
    <w:name w:val="Subtitle Char"/>
    <w:basedOn w:val="DefaultParagraphFont"/>
    <w:link w:val="Subtitle"/>
    <w:rsid w:val="00D04C26"/>
    <w:rPr>
      <w:rFonts w:ascii="Arial" w:eastAsia="Times New Roman" w:hAnsi="Arial" w:cs="Times New Roman"/>
      <w:b/>
      <w:color w:val="000000"/>
      <w:szCs w:val="20"/>
    </w:rPr>
  </w:style>
  <w:style w:type="character" w:customStyle="1" w:styleId="NoSpacingChar">
    <w:name w:val="No Spacing Char"/>
    <w:basedOn w:val="DefaultParagraphFont"/>
    <w:link w:val="NoSpacing"/>
    <w:uiPriority w:val="1"/>
    <w:locked/>
    <w:rsid w:val="00D04C26"/>
  </w:style>
  <w:style w:type="paragraph" w:styleId="NoSpacing">
    <w:name w:val="No Spacing"/>
    <w:link w:val="NoSpacingChar"/>
    <w:uiPriority w:val="1"/>
    <w:qFormat/>
    <w:rsid w:val="00D04C26"/>
    <w:pPr>
      <w:spacing w:after="0" w:line="240" w:lineRule="auto"/>
    </w:pPr>
  </w:style>
  <w:style w:type="paragraph" w:styleId="Header">
    <w:name w:val="header"/>
    <w:basedOn w:val="Normal"/>
    <w:link w:val="HeaderChar"/>
    <w:uiPriority w:val="99"/>
    <w:unhideWhenUsed/>
    <w:rsid w:val="00D0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26"/>
  </w:style>
  <w:style w:type="paragraph" w:styleId="Footer">
    <w:name w:val="footer"/>
    <w:basedOn w:val="Normal"/>
    <w:link w:val="FooterChar"/>
    <w:uiPriority w:val="99"/>
    <w:unhideWhenUsed/>
    <w:rsid w:val="00D0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26"/>
  </w:style>
  <w:style w:type="paragraph" w:styleId="BalloonText">
    <w:name w:val="Balloon Text"/>
    <w:basedOn w:val="Normal"/>
    <w:link w:val="BalloonTextChar"/>
    <w:uiPriority w:val="99"/>
    <w:semiHidden/>
    <w:unhideWhenUsed/>
    <w:rsid w:val="00D0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26"/>
    <w:rPr>
      <w:rFonts w:ascii="Tahoma" w:hAnsi="Tahoma" w:cs="Tahoma"/>
      <w:sz w:val="16"/>
      <w:szCs w:val="16"/>
    </w:rPr>
  </w:style>
  <w:style w:type="character" w:styleId="Hyperlink">
    <w:name w:val="Hyperlink"/>
    <w:basedOn w:val="DefaultParagraphFont"/>
    <w:uiPriority w:val="99"/>
    <w:unhideWhenUsed/>
    <w:rsid w:val="00D04C26"/>
    <w:rPr>
      <w:color w:val="0000FF" w:themeColor="hyperlink"/>
      <w:u w:val="single"/>
    </w:rPr>
  </w:style>
  <w:style w:type="table" w:styleId="TableGrid">
    <w:name w:val="Table Grid"/>
    <w:basedOn w:val="TableNormal"/>
    <w:uiPriority w:val="59"/>
    <w:rsid w:val="00F00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0FD0"/>
    <w:pPr>
      <w:ind w:left="720"/>
      <w:contextualSpacing/>
    </w:pPr>
  </w:style>
  <w:style w:type="character" w:customStyle="1" w:styleId="Heading1Char">
    <w:name w:val="Heading 1 Char"/>
    <w:basedOn w:val="DefaultParagraphFont"/>
    <w:link w:val="Heading1"/>
    <w:uiPriority w:val="9"/>
    <w:rsid w:val="005B382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5B3826"/>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sid w:val="005B3826"/>
    <w:rPr>
      <w:rFonts w:ascii="Arial" w:hAnsi="Arial" w:cs="Arial"/>
      <w:sz w:val="20"/>
      <w:szCs w:val="20"/>
    </w:rPr>
  </w:style>
  <w:style w:type="paragraph" w:customStyle="1" w:styleId="Table">
    <w:name w:val="Table"/>
    <w:basedOn w:val="Normal"/>
    <w:rsid w:val="005B3826"/>
    <w:pPr>
      <w:spacing w:after="0" w:line="240" w:lineRule="auto"/>
    </w:pPr>
    <w:rPr>
      <w:rFonts w:ascii="Arial" w:hAnsi="Arial" w:cs="Arial"/>
      <w:color w:val="000000"/>
      <w:sz w:val="16"/>
      <w:szCs w:val="16"/>
    </w:rPr>
  </w:style>
  <w:style w:type="character" w:customStyle="1" w:styleId="A5">
    <w:name w:val="A5"/>
    <w:uiPriority w:val="99"/>
    <w:rsid w:val="00FD5290"/>
    <w:rPr>
      <w:rFonts w:cs="HelveticaNeueLT Pro 55 Roman"/>
      <w:color w:val="000000"/>
      <w:sz w:val="17"/>
      <w:szCs w:val="17"/>
    </w:rPr>
  </w:style>
  <w:style w:type="character" w:styleId="FollowedHyperlink">
    <w:name w:val="FollowedHyperlink"/>
    <w:basedOn w:val="DefaultParagraphFont"/>
    <w:uiPriority w:val="99"/>
    <w:semiHidden/>
    <w:unhideWhenUsed/>
    <w:rsid w:val="0049734D"/>
    <w:rPr>
      <w:color w:val="800080" w:themeColor="followedHyperlink"/>
      <w:u w:val="single"/>
    </w:rPr>
  </w:style>
  <w:style w:type="character" w:customStyle="1" w:styleId="Heading6Char">
    <w:name w:val="Heading 6 Char"/>
    <w:basedOn w:val="DefaultParagraphFont"/>
    <w:link w:val="Heading6"/>
    <w:uiPriority w:val="9"/>
    <w:rsid w:val="00E8034F"/>
    <w:rPr>
      <w:rFonts w:asciiTheme="majorHAnsi" w:eastAsiaTheme="majorEastAsia" w:hAnsiTheme="majorHAnsi" w:cstheme="majorBidi"/>
      <w:i/>
      <w:iCs/>
      <w:color w:val="243F60" w:themeColor="accent1" w:themeShade="7F"/>
    </w:rPr>
  </w:style>
  <w:style w:type="paragraph" w:customStyle="1" w:styleId="TableFootnote">
    <w:name w:val="TableFootnote"/>
    <w:basedOn w:val="NormalWeb"/>
    <w:qFormat/>
    <w:rsid w:val="00E8034F"/>
    <w:pPr>
      <w:spacing w:after="0" w:line="240" w:lineRule="auto"/>
      <w:ind w:left="806" w:right="3787" w:hanging="86"/>
    </w:pPr>
    <w:rPr>
      <w:rFonts w:ascii="Arial" w:eastAsia="Times New Roman" w:hAnsi="Arial" w:cs="Arial"/>
      <w:sz w:val="16"/>
      <w:szCs w:val="16"/>
      <w:vertAlign w:val="superscript"/>
    </w:rPr>
  </w:style>
  <w:style w:type="paragraph" w:styleId="NormalWeb">
    <w:name w:val="Normal (Web)"/>
    <w:basedOn w:val="Normal"/>
    <w:uiPriority w:val="99"/>
    <w:semiHidden/>
    <w:unhideWhenUsed/>
    <w:rsid w:val="00E8034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82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E803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4C26"/>
    <w:pPr>
      <w:spacing w:after="0" w:line="240" w:lineRule="auto"/>
      <w:jc w:val="center"/>
    </w:pPr>
    <w:rPr>
      <w:rFonts w:ascii="Arial" w:eastAsia="Times New Roman" w:hAnsi="Arial" w:cs="Times New Roman"/>
      <w:b/>
      <w:color w:val="000000"/>
      <w:szCs w:val="20"/>
    </w:rPr>
  </w:style>
  <w:style w:type="character" w:customStyle="1" w:styleId="TitleChar">
    <w:name w:val="Title Char"/>
    <w:basedOn w:val="DefaultParagraphFont"/>
    <w:link w:val="Title"/>
    <w:rsid w:val="00D04C26"/>
    <w:rPr>
      <w:rFonts w:ascii="Arial" w:eastAsia="Times New Roman" w:hAnsi="Arial" w:cs="Times New Roman"/>
      <w:b/>
      <w:color w:val="000000"/>
      <w:szCs w:val="20"/>
    </w:rPr>
  </w:style>
  <w:style w:type="paragraph" w:styleId="Subtitle">
    <w:name w:val="Subtitle"/>
    <w:basedOn w:val="Normal"/>
    <w:link w:val="SubtitleChar"/>
    <w:qFormat/>
    <w:rsid w:val="00D04C26"/>
    <w:pPr>
      <w:spacing w:after="0" w:line="240" w:lineRule="auto"/>
      <w:jc w:val="center"/>
    </w:pPr>
    <w:rPr>
      <w:rFonts w:ascii="Arial" w:eastAsia="Times New Roman" w:hAnsi="Arial" w:cs="Times New Roman"/>
      <w:b/>
      <w:color w:val="000000"/>
      <w:szCs w:val="20"/>
    </w:rPr>
  </w:style>
  <w:style w:type="character" w:customStyle="1" w:styleId="SubtitleChar">
    <w:name w:val="Subtitle Char"/>
    <w:basedOn w:val="DefaultParagraphFont"/>
    <w:link w:val="Subtitle"/>
    <w:rsid w:val="00D04C26"/>
    <w:rPr>
      <w:rFonts w:ascii="Arial" w:eastAsia="Times New Roman" w:hAnsi="Arial" w:cs="Times New Roman"/>
      <w:b/>
      <w:color w:val="000000"/>
      <w:szCs w:val="20"/>
    </w:rPr>
  </w:style>
  <w:style w:type="character" w:customStyle="1" w:styleId="NoSpacingChar">
    <w:name w:val="No Spacing Char"/>
    <w:basedOn w:val="DefaultParagraphFont"/>
    <w:link w:val="NoSpacing"/>
    <w:uiPriority w:val="1"/>
    <w:locked/>
    <w:rsid w:val="00D04C26"/>
  </w:style>
  <w:style w:type="paragraph" w:styleId="NoSpacing">
    <w:name w:val="No Spacing"/>
    <w:link w:val="NoSpacingChar"/>
    <w:uiPriority w:val="1"/>
    <w:qFormat/>
    <w:rsid w:val="00D04C26"/>
    <w:pPr>
      <w:spacing w:after="0" w:line="240" w:lineRule="auto"/>
    </w:pPr>
  </w:style>
  <w:style w:type="paragraph" w:styleId="Header">
    <w:name w:val="header"/>
    <w:basedOn w:val="Normal"/>
    <w:link w:val="HeaderChar"/>
    <w:uiPriority w:val="99"/>
    <w:unhideWhenUsed/>
    <w:rsid w:val="00D0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26"/>
  </w:style>
  <w:style w:type="paragraph" w:styleId="Footer">
    <w:name w:val="footer"/>
    <w:basedOn w:val="Normal"/>
    <w:link w:val="FooterChar"/>
    <w:uiPriority w:val="99"/>
    <w:unhideWhenUsed/>
    <w:rsid w:val="00D0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26"/>
  </w:style>
  <w:style w:type="paragraph" w:styleId="BalloonText">
    <w:name w:val="Balloon Text"/>
    <w:basedOn w:val="Normal"/>
    <w:link w:val="BalloonTextChar"/>
    <w:uiPriority w:val="99"/>
    <w:semiHidden/>
    <w:unhideWhenUsed/>
    <w:rsid w:val="00D0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26"/>
    <w:rPr>
      <w:rFonts w:ascii="Tahoma" w:hAnsi="Tahoma" w:cs="Tahoma"/>
      <w:sz w:val="16"/>
      <w:szCs w:val="16"/>
    </w:rPr>
  </w:style>
  <w:style w:type="character" w:styleId="Hyperlink">
    <w:name w:val="Hyperlink"/>
    <w:basedOn w:val="DefaultParagraphFont"/>
    <w:uiPriority w:val="99"/>
    <w:unhideWhenUsed/>
    <w:rsid w:val="00D04C26"/>
    <w:rPr>
      <w:color w:val="0000FF" w:themeColor="hyperlink"/>
      <w:u w:val="single"/>
    </w:rPr>
  </w:style>
  <w:style w:type="table" w:styleId="TableGrid">
    <w:name w:val="Table Grid"/>
    <w:basedOn w:val="TableNormal"/>
    <w:uiPriority w:val="59"/>
    <w:rsid w:val="00F00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0FD0"/>
    <w:pPr>
      <w:ind w:left="720"/>
      <w:contextualSpacing/>
    </w:pPr>
  </w:style>
  <w:style w:type="character" w:customStyle="1" w:styleId="Heading1Char">
    <w:name w:val="Heading 1 Char"/>
    <w:basedOn w:val="DefaultParagraphFont"/>
    <w:link w:val="Heading1"/>
    <w:uiPriority w:val="9"/>
    <w:rsid w:val="005B382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5B3826"/>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sid w:val="005B3826"/>
    <w:rPr>
      <w:rFonts w:ascii="Arial" w:hAnsi="Arial" w:cs="Arial"/>
      <w:sz w:val="20"/>
      <w:szCs w:val="20"/>
    </w:rPr>
  </w:style>
  <w:style w:type="paragraph" w:customStyle="1" w:styleId="Table">
    <w:name w:val="Table"/>
    <w:basedOn w:val="Normal"/>
    <w:rsid w:val="005B3826"/>
    <w:pPr>
      <w:spacing w:after="0" w:line="240" w:lineRule="auto"/>
    </w:pPr>
    <w:rPr>
      <w:rFonts w:ascii="Arial" w:hAnsi="Arial" w:cs="Arial"/>
      <w:color w:val="000000"/>
      <w:sz w:val="16"/>
      <w:szCs w:val="16"/>
    </w:rPr>
  </w:style>
  <w:style w:type="character" w:customStyle="1" w:styleId="A5">
    <w:name w:val="A5"/>
    <w:uiPriority w:val="99"/>
    <w:rsid w:val="00FD5290"/>
    <w:rPr>
      <w:rFonts w:cs="HelveticaNeueLT Pro 55 Roman"/>
      <w:color w:val="000000"/>
      <w:sz w:val="17"/>
      <w:szCs w:val="17"/>
    </w:rPr>
  </w:style>
  <w:style w:type="character" w:styleId="FollowedHyperlink">
    <w:name w:val="FollowedHyperlink"/>
    <w:basedOn w:val="DefaultParagraphFont"/>
    <w:uiPriority w:val="99"/>
    <w:semiHidden/>
    <w:unhideWhenUsed/>
    <w:rsid w:val="0049734D"/>
    <w:rPr>
      <w:color w:val="800080" w:themeColor="followedHyperlink"/>
      <w:u w:val="single"/>
    </w:rPr>
  </w:style>
  <w:style w:type="character" w:customStyle="1" w:styleId="Heading6Char">
    <w:name w:val="Heading 6 Char"/>
    <w:basedOn w:val="DefaultParagraphFont"/>
    <w:link w:val="Heading6"/>
    <w:uiPriority w:val="9"/>
    <w:rsid w:val="00E8034F"/>
    <w:rPr>
      <w:rFonts w:asciiTheme="majorHAnsi" w:eastAsiaTheme="majorEastAsia" w:hAnsiTheme="majorHAnsi" w:cstheme="majorBidi"/>
      <w:i/>
      <w:iCs/>
      <w:color w:val="243F60" w:themeColor="accent1" w:themeShade="7F"/>
    </w:rPr>
  </w:style>
  <w:style w:type="paragraph" w:customStyle="1" w:styleId="TableFootnote">
    <w:name w:val="TableFootnote"/>
    <w:basedOn w:val="NormalWeb"/>
    <w:qFormat/>
    <w:rsid w:val="00E8034F"/>
    <w:pPr>
      <w:spacing w:after="0" w:line="240" w:lineRule="auto"/>
      <w:ind w:left="806" w:right="3787" w:hanging="86"/>
    </w:pPr>
    <w:rPr>
      <w:rFonts w:ascii="Arial" w:eastAsia="Times New Roman" w:hAnsi="Arial" w:cs="Arial"/>
      <w:sz w:val="16"/>
      <w:szCs w:val="16"/>
      <w:vertAlign w:val="superscript"/>
    </w:rPr>
  </w:style>
  <w:style w:type="paragraph" w:styleId="NormalWeb">
    <w:name w:val="Normal (Web)"/>
    <w:basedOn w:val="Normal"/>
    <w:uiPriority w:val="99"/>
    <w:semiHidden/>
    <w:unhideWhenUsed/>
    <w:rsid w:val="00E80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9338">
      <w:bodyDiv w:val="1"/>
      <w:marLeft w:val="0"/>
      <w:marRight w:val="0"/>
      <w:marTop w:val="0"/>
      <w:marBottom w:val="0"/>
      <w:divBdr>
        <w:top w:val="none" w:sz="0" w:space="0" w:color="auto"/>
        <w:left w:val="none" w:sz="0" w:space="0" w:color="auto"/>
        <w:bottom w:val="none" w:sz="0" w:space="0" w:color="auto"/>
        <w:right w:val="none" w:sz="0" w:space="0" w:color="auto"/>
      </w:divBdr>
    </w:div>
    <w:div w:id="2107074409">
      <w:bodyDiv w:val="1"/>
      <w:marLeft w:val="0"/>
      <w:marRight w:val="0"/>
      <w:marTop w:val="0"/>
      <w:marBottom w:val="0"/>
      <w:divBdr>
        <w:top w:val="none" w:sz="0" w:space="0" w:color="auto"/>
        <w:left w:val="none" w:sz="0" w:space="0" w:color="auto"/>
        <w:bottom w:val="none" w:sz="0" w:space="0" w:color="auto"/>
        <w:right w:val="none" w:sz="0" w:space="0" w:color="auto"/>
      </w:divBdr>
      <w:divsChild>
        <w:div w:id="1143035977">
          <w:marLeft w:val="0"/>
          <w:marRight w:val="0"/>
          <w:marTop w:val="0"/>
          <w:marBottom w:val="0"/>
          <w:divBdr>
            <w:top w:val="none" w:sz="0" w:space="0" w:color="auto"/>
            <w:left w:val="none" w:sz="0" w:space="0" w:color="auto"/>
            <w:bottom w:val="none" w:sz="0" w:space="0" w:color="auto"/>
            <w:right w:val="none" w:sz="0" w:space="0" w:color="auto"/>
          </w:divBdr>
          <w:divsChild>
            <w:div w:id="525751504">
              <w:marLeft w:val="0"/>
              <w:marRight w:val="0"/>
              <w:marTop w:val="0"/>
              <w:marBottom w:val="0"/>
              <w:divBdr>
                <w:top w:val="none" w:sz="0" w:space="0" w:color="auto"/>
                <w:left w:val="none" w:sz="0" w:space="0" w:color="auto"/>
                <w:bottom w:val="none" w:sz="0" w:space="0" w:color="auto"/>
                <w:right w:val="none" w:sz="0" w:space="0" w:color="auto"/>
              </w:divBdr>
              <w:divsChild>
                <w:div w:id="962151514">
                  <w:marLeft w:val="0"/>
                  <w:marRight w:val="0"/>
                  <w:marTop w:val="0"/>
                  <w:marBottom w:val="0"/>
                  <w:divBdr>
                    <w:top w:val="none" w:sz="0" w:space="0" w:color="auto"/>
                    <w:left w:val="none" w:sz="0" w:space="0" w:color="auto"/>
                    <w:bottom w:val="none" w:sz="0" w:space="0" w:color="auto"/>
                    <w:right w:val="none" w:sz="0" w:space="0" w:color="auto"/>
                  </w:divBdr>
                  <w:divsChild>
                    <w:div w:id="2761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aflexrems.co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vaww.pbm.va.gov" TargetMode="External"/><Relationship Id="rId1" Type="http://schemas.openxmlformats.org/officeDocument/2006/relationships/hyperlink" Target="http://www.pb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EA2653D8-1B47-42D6-BBD1-49C5D8141620}"/>
</file>

<file path=customXml/itemProps2.xml><?xml version="1.0" encoding="utf-8"?>
<ds:datastoreItem xmlns:ds="http://schemas.openxmlformats.org/officeDocument/2006/customXml" ds:itemID="{7F2DF0B4-F5E6-4E65-B2FA-A695839414C4}"/>
</file>

<file path=customXml/itemProps3.xml><?xml version="1.0" encoding="utf-8"?>
<ds:datastoreItem xmlns:ds="http://schemas.openxmlformats.org/officeDocument/2006/customXml" ds:itemID="{07FB7642-768C-4C7A-AE9C-E2D2D45B21B7}"/>
</file>

<file path=docProps/app.xml><?xml version="1.0" encoding="utf-8"?>
<Properties xmlns="http://schemas.openxmlformats.org/officeDocument/2006/extended-properties" xmlns:vt="http://schemas.openxmlformats.org/officeDocument/2006/docPropsVTypes">
  <Template>Normal</Template>
  <TotalTime>1803</TotalTime>
  <Pages>6</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Khachikian, Debbie</dc:creator>
  <cp:lastModifiedBy>Khachikian, Debbie</cp:lastModifiedBy>
  <cp:revision>106</cp:revision>
  <dcterms:created xsi:type="dcterms:W3CDTF">2014-01-02T17:05:00Z</dcterms:created>
  <dcterms:modified xsi:type="dcterms:W3CDTF">2014-04-17T15:54:00Z</dcterms:modified>
</cp:coreProperties>
</file>