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ustom.xml" ContentType="application/vnd.openxmlformats-officedocument.custom-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94D" w:rsidRDefault="00E113D5" w:rsidP="00C0294D">
      <w:pPr>
        <w:pStyle w:val="Subtitle"/>
        <w:pBdr>
          <w:top w:val="single" w:sz="4" w:space="8" w:color="auto"/>
          <w:bottom w:val="single" w:sz="4" w:space="8" w:color="auto"/>
        </w:pBdr>
        <w:shd w:val="clear" w:color="auto" w:fill="E0E0E0"/>
        <w:spacing w:before="40" w:after="40"/>
        <w:rPr>
          <w:sz w:val="28"/>
        </w:rPr>
      </w:pPr>
      <w:proofErr w:type="spellStart"/>
      <w:r>
        <w:rPr>
          <w:sz w:val="28"/>
        </w:rPr>
        <w:t>Ingenol</w:t>
      </w:r>
      <w:proofErr w:type="spellEnd"/>
      <w:r>
        <w:rPr>
          <w:sz w:val="28"/>
        </w:rPr>
        <w:t xml:space="preserve"> </w:t>
      </w:r>
      <w:proofErr w:type="spellStart"/>
      <w:r>
        <w:rPr>
          <w:sz w:val="28"/>
        </w:rPr>
        <w:t>Mebutate</w:t>
      </w:r>
      <w:proofErr w:type="spellEnd"/>
      <w:r w:rsidR="00C0294D">
        <w:rPr>
          <w:sz w:val="28"/>
        </w:rPr>
        <w:t xml:space="preserve"> (</w:t>
      </w:r>
      <w:r>
        <w:rPr>
          <w:sz w:val="28"/>
        </w:rPr>
        <w:t>PICATO</w:t>
      </w:r>
      <w:r w:rsidR="00C0294D">
        <w:rPr>
          <w:sz w:val="28"/>
        </w:rPr>
        <w:t>)</w:t>
      </w:r>
      <w:r>
        <w:rPr>
          <w:sz w:val="28"/>
        </w:rPr>
        <w:t xml:space="preserve"> Gel</w:t>
      </w:r>
    </w:p>
    <w:p w:rsidR="00537E8D" w:rsidRDefault="00537E8D">
      <w:pPr>
        <w:pStyle w:val="Title"/>
        <w:pBdr>
          <w:top w:val="single" w:sz="4" w:space="8" w:color="auto"/>
          <w:bottom w:val="single" w:sz="4" w:space="8" w:color="auto"/>
        </w:pBdr>
        <w:shd w:val="clear" w:color="auto" w:fill="E0E0E0"/>
        <w:spacing w:before="40" w:after="40"/>
      </w:pPr>
      <w:r>
        <w:t>National Drug Monograph</w:t>
      </w:r>
    </w:p>
    <w:p w:rsidR="00537E8D" w:rsidRDefault="00017C36">
      <w:pPr>
        <w:pStyle w:val="Subtitle"/>
        <w:pBdr>
          <w:top w:val="single" w:sz="4" w:space="8" w:color="auto"/>
          <w:bottom w:val="single" w:sz="4" w:space="8" w:color="auto"/>
        </w:pBdr>
        <w:shd w:val="clear" w:color="auto" w:fill="E0E0E0"/>
        <w:spacing w:before="40" w:after="40"/>
      </w:pPr>
      <w:r>
        <w:t>April</w:t>
      </w:r>
      <w:r>
        <w:t xml:space="preserve"> </w:t>
      </w:r>
      <w:r w:rsidR="00A74052">
        <w:t>2014</w:t>
      </w:r>
    </w:p>
    <w:p w:rsidR="00537E8D" w:rsidRDefault="00537E8D">
      <w:pPr>
        <w:pStyle w:val="Subtitle"/>
        <w:pBdr>
          <w:top w:val="single" w:sz="4" w:space="8" w:color="auto"/>
          <w:bottom w:val="single" w:sz="4" w:space="8" w:color="auto"/>
        </w:pBdr>
        <w:shd w:val="clear" w:color="auto" w:fill="E0E0E0"/>
        <w:spacing w:before="40" w:after="40"/>
      </w:pPr>
      <w:r>
        <w:rPr>
          <w:sz w:val="18"/>
        </w:rPr>
        <w:t xml:space="preserve">VA Pharmacy Benefits Management </w:t>
      </w:r>
      <w:r w:rsidR="006026D5">
        <w:rPr>
          <w:sz w:val="18"/>
        </w:rPr>
        <w:t>Service</w:t>
      </w:r>
      <w:r w:rsidR="00FC2386">
        <w:rPr>
          <w:sz w:val="18"/>
        </w:rPr>
        <w:t>s,</w:t>
      </w:r>
      <w:r>
        <w:rPr>
          <w:sz w:val="18"/>
        </w:rPr>
        <w:t xml:space="preserve"> Medical Advisory Panel</w:t>
      </w:r>
      <w:r w:rsidR="00FC2386">
        <w:rPr>
          <w:sz w:val="18"/>
        </w:rPr>
        <w:t>, and VISN Pharmacist Executives</w:t>
      </w:r>
    </w:p>
    <w:p w:rsidR="00937B26" w:rsidRPr="00937B26" w:rsidRDefault="00937B26" w:rsidP="00937B26">
      <w:pPr>
        <w:pStyle w:val="NormalWeb"/>
        <w:rPr>
          <w:sz w:val="18"/>
          <w:szCs w:val="18"/>
        </w:rPr>
      </w:pPr>
      <w:r w:rsidRPr="00937B26">
        <w:rPr>
          <w:i/>
          <w:iCs/>
          <w:sz w:val="18"/>
          <w:szCs w:val="18"/>
        </w:rPr>
        <w:t>The purpose of VA PBM</w:t>
      </w:r>
      <w:r w:rsidR="00FC2386">
        <w:rPr>
          <w:i/>
          <w:iCs/>
          <w:sz w:val="18"/>
          <w:szCs w:val="18"/>
        </w:rPr>
        <w:t xml:space="preserve"> Services</w:t>
      </w:r>
      <w:r w:rsidRPr="00937B26">
        <w:rPr>
          <w:i/>
          <w:iCs/>
          <w:sz w:val="18"/>
          <w:szCs w:val="18"/>
        </w:rPr>
        <w:t xml:space="preserve"> drug monographs is to provide a comprehensive drug review for making formulary decisions. These documents will be updated when new </w:t>
      </w:r>
      <w:r w:rsidR="003C4333">
        <w:rPr>
          <w:i/>
          <w:iCs/>
          <w:sz w:val="18"/>
          <w:szCs w:val="18"/>
        </w:rPr>
        <w:t xml:space="preserve">clinical </w:t>
      </w:r>
      <w:r w:rsidRPr="00937B26">
        <w:rPr>
          <w:i/>
          <w:iCs/>
          <w:sz w:val="18"/>
          <w:szCs w:val="18"/>
        </w:rPr>
        <w:t>data warrant additional formulary discussion. Documents will be placed in the Archive section when the information is deemed to be no longer current.</w:t>
      </w:r>
    </w:p>
    <w:p w:rsidR="00537E8D" w:rsidRDefault="00537E8D">
      <w:pPr>
        <w:pStyle w:val="Heading1"/>
      </w:pPr>
      <w:bookmarkStart w:id="0" w:name="_Ref80503453"/>
      <w:r>
        <w:t>Executive Summary:</w:t>
      </w:r>
      <w:bookmarkEnd w:id="0"/>
      <w:r>
        <w:t xml:space="preserve">  </w:t>
      </w:r>
    </w:p>
    <w:p w:rsidR="0051511F" w:rsidRDefault="0051511F" w:rsidP="002F438F">
      <w:pPr>
        <w:pStyle w:val="ListBullet2"/>
        <w:ind w:left="360"/>
      </w:pPr>
      <w:proofErr w:type="spellStart"/>
      <w:r w:rsidRPr="0051511F">
        <w:t>Ingenol</w:t>
      </w:r>
      <w:proofErr w:type="spellEnd"/>
      <w:r w:rsidRPr="0051511F">
        <w:t xml:space="preserve"> </w:t>
      </w:r>
      <w:proofErr w:type="spellStart"/>
      <w:r w:rsidRPr="0051511F">
        <w:t>mebutate</w:t>
      </w:r>
      <w:proofErr w:type="spellEnd"/>
      <w:r w:rsidRPr="0051511F">
        <w:t xml:space="preserve"> (PEP005; PICATO by Leo </w:t>
      </w:r>
      <w:proofErr w:type="spellStart"/>
      <w:r w:rsidRPr="0051511F">
        <w:t>Pharma</w:t>
      </w:r>
      <w:proofErr w:type="spellEnd"/>
      <w:r w:rsidRPr="0051511F">
        <w:t xml:space="preserve"> AS)</w:t>
      </w:r>
      <w:r w:rsidR="00D93D73">
        <w:t xml:space="preserve"> is</w:t>
      </w:r>
      <w:r>
        <w:t xml:space="preserve"> a </w:t>
      </w:r>
      <w:proofErr w:type="spellStart"/>
      <w:r>
        <w:t>diterpene</w:t>
      </w:r>
      <w:proofErr w:type="spellEnd"/>
      <w:r>
        <w:t xml:space="preserve"> ester extracted from the sap of a common garden plant (Euphorbia </w:t>
      </w:r>
      <w:proofErr w:type="spellStart"/>
      <w:r>
        <w:t>peplus</w:t>
      </w:r>
      <w:proofErr w:type="spellEnd"/>
      <w:r>
        <w:t xml:space="preserve">) </w:t>
      </w:r>
      <w:r w:rsidR="0051520F">
        <w:t xml:space="preserve">that </w:t>
      </w:r>
      <w:r w:rsidR="00D93D73">
        <w:t>has been</w:t>
      </w:r>
      <w:r w:rsidR="0051520F">
        <w:t xml:space="preserve"> </w:t>
      </w:r>
      <w:r>
        <w:t>used traditionally for skin cancer</w:t>
      </w:r>
      <w:r w:rsidR="00A544D0">
        <w:t>, warts and corns</w:t>
      </w:r>
      <w:r w:rsidR="00D93D73">
        <w:t>.</w:t>
      </w:r>
      <w:r w:rsidRPr="0051511F">
        <w:t xml:space="preserve"> </w:t>
      </w:r>
      <w:proofErr w:type="spellStart"/>
      <w:r w:rsidR="00D93D73">
        <w:t>Ingenol</w:t>
      </w:r>
      <w:proofErr w:type="spellEnd"/>
      <w:r w:rsidR="00D93D73">
        <w:t xml:space="preserve"> </w:t>
      </w:r>
      <w:proofErr w:type="spellStart"/>
      <w:r w:rsidR="00D93D73">
        <w:t>mebutate</w:t>
      </w:r>
      <w:proofErr w:type="spellEnd"/>
      <w:r w:rsidR="00D93D73">
        <w:t xml:space="preserve"> has a unique two-part mechanism of action involving direct cytotoxicity and neutrophil antibody stimulation. It i</w:t>
      </w:r>
      <w:r w:rsidRPr="0051511F">
        <w:t xml:space="preserve">s the fourth patient-administered, field-directed topical </w:t>
      </w:r>
      <w:r w:rsidR="0051520F">
        <w:t>agent</w:t>
      </w:r>
      <w:r w:rsidRPr="0051511F">
        <w:t xml:space="preserve"> approved by the Food and Drug Administration for the treatment of actinic keratosis (AK).</w:t>
      </w:r>
    </w:p>
    <w:p w:rsidR="0051511F" w:rsidRPr="00A544D0" w:rsidRDefault="00A544D0" w:rsidP="002F438F">
      <w:pPr>
        <w:pStyle w:val="ListBullet2"/>
        <w:ind w:left="360"/>
      </w:pPr>
      <w:r>
        <w:t>Each dose</w:t>
      </w:r>
      <w:r w:rsidR="00A51740">
        <w:t xml:space="preserve"> of </w:t>
      </w:r>
      <w:proofErr w:type="spellStart"/>
      <w:r w:rsidR="00A51740">
        <w:t>ingenol</w:t>
      </w:r>
      <w:proofErr w:type="spellEnd"/>
      <w:r w:rsidR="00A51740">
        <w:t xml:space="preserve"> </w:t>
      </w:r>
      <w:proofErr w:type="spellStart"/>
      <w:r w:rsidR="00A51740">
        <w:t>mebutate</w:t>
      </w:r>
      <w:proofErr w:type="spellEnd"/>
      <w:r>
        <w:t xml:space="preserve"> is applied once daily to an </w:t>
      </w:r>
      <w:r w:rsidR="0051520F">
        <w:t xml:space="preserve">affected </w:t>
      </w:r>
      <w:r w:rsidR="00A51740">
        <w:t xml:space="preserve">contiguous </w:t>
      </w:r>
      <w:r w:rsidR="0051520F">
        <w:t xml:space="preserve">skin </w:t>
      </w:r>
      <w:r>
        <w:t xml:space="preserve">area </w:t>
      </w:r>
      <w:r w:rsidR="0051520F">
        <w:t>not more than</w:t>
      </w:r>
      <w:r>
        <w:t xml:space="preserve"> 25 </w:t>
      </w:r>
      <w:r w:rsidRPr="00A544D0">
        <w:t>cm</w:t>
      </w:r>
      <w:r w:rsidRPr="00A544D0">
        <w:rPr>
          <w:vertAlign w:val="superscript"/>
        </w:rPr>
        <w:t>2</w:t>
      </w:r>
      <w:r>
        <w:t xml:space="preserve">, and the treatment duration with </w:t>
      </w:r>
      <w:proofErr w:type="spellStart"/>
      <w:r>
        <w:t>ingenol</w:t>
      </w:r>
      <w:proofErr w:type="spellEnd"/>
      <w:r>
        <w:t xml:space="preserve"> </w:t>
      </w:r>
      <w:proofErr w:type="spellStart"/>
      <w:r>
        <w:t>mebutate</w:t>
      </w:r>
      <w:proofErr w:type="spellEnd"/>
      <w:r>
        <w:t xml:space="preserve"> is only 2 to 3 days. </w:t>
      </w:r>
      <w:r>
        <w:rPr>
          <w:color w:val="000000"/>
        </w:rPr>
        <w:t xml:space="preserve">A lower strength gel (0.015%) is indicated </w:t>
      </w:r>
      <w:r w:rsidR="0051520F">
        <w:rPr>
          <w:color w:val="000000"/>
        </w:rPr>
        <w:t xml:space="preserve">for AK lesions on the </w:t>
      </w:r>
      <w:r>
        <w:rPr>
          <w:color w:val="000000"/>
        </w:rPr>
        <w:t>face and scalp, and a higher strength (0.05%) is indicated for the trunk and extremities. There is potential for dosing confusion because of the availability of two different strengths depending on the body area of application.</w:t>
      </w:r>
      <w:r w:rsidR="00B10C35">
        <w:rPr>
          <w:color w:val="000000"/>
        </w:rPr>
        <w:t xml:space="preserve"> As with the other available topical drug therapies for AK, it is important to avoid getting </w:t>
      </w:r>
      <w:r w:rsidR="0051520F">
        <w:rPr>
          <w:color w:val="000000"/>
        </w:rPr>
        <w:t>medication</w:t>
      </w:r>
      <w:r w:rsidR="00B10C35">
        <w:rPr>
          <w:color w:val="000000"/>
        </w:rPr>
        <w:t xml:space="preserve"> in the eyes.</w:t>
      </w:r>
      <w:r w:rsidR="00926775">
        <w:rPr>
          <w:color w:val="000000"/>
        </w:rPr>
        <w:t xml:space="preserve"> Product must be stored in a refrigerator at </w:t>
      </w:r>
      <w:r w:rsidR="00926775" w:rsidRPr="00926775">
        <w:rPr>
          <w:color w:val="000000"/>
        </w:rPr>
        <w:t>2° to 8°C (36° to 46°F)</w:t>
      </w:r>
      <w:r w:rsidR="00926775">
        <w:rPr>
          <w:color w:val="000000"/>
        </w:rPr>
        <w:t>.</w:t>
      </w:r>
    </w:p>
    <w:p w:rsidR="00623884" w:rsidRDefault="00B10C35" w:rsidP="002F438F">
      <w:pPr>
        <w:pStyle w:val="ListBullet2"/>
        <w:ind w:left="360"/>
      </w:pPr>
      <w:proofErr w:type="spellStart"/>
      <w:r w:rsidRPr="00B10C35">
        <w:t>Ingenol</w:t>
      </w:r>
      <w:proofErr w:type="spellEnd"/>
      <w:r w:rsidRPr="00B10C35">
        <w:t xml:space="preserve"> </w:t>
      </w:r>
      <w:proofErr w:type="spellStart"/>
      <w:r w:rsidRPr="00B10C35">
        <w:t>mebutate</w:t>
      </w:r>
      <w:proofErr w:type="spellEnd"/>
      <w:r w:rsidRPr="00B10C35">
        <w:t xml:space="preserve"> treatment had consistently moderate-to-large effect sizes in the treatment of AK, with NNTs for complete clearance (versus vehicle) of 3 (2 RCTs) for AK of the face or scalp, and NNTs of 3 and 5 (2 RCTs) for AK of the trunk or extremities.</w:t>
      </w:r>
      <w:r>
        <w:t xml:space="preserve"> Durability of effects </w:t>
      </w:r>
      <w:r w:rsidR="0051520F">
        <w:t>was</w:t>
      </w:r>
      <w:r>
        <w:t xml:space="preserve"> evaluated at 12 months; recurrence rates were 54% for AK of the face or scalp and 50% for AK of the trunk or extremities.</w:t>
      </w:r>
      <w:r w:rsidR="00623884">
        <w:t xml:space="preserve"> </w:t>
      </w:r>
    </w:p>
    <w:p w:rsidR="00B10C35" w:rsidRDefault="00B10C35" w:rsidP="002F438F">
      <w:pPr>
        <w:pStyle w:val="ListBullet2"/>
        <w:ind w:left="360"/>
      </w:pPr>
      <w:r>
        <w:t>In meta-analytic indirect comparisons with</w:t>
      </w:r>
      <w:r w:rsidR="0051520F">
        <w:t xml:space="preserve"> topical</w:t>
      </w:r>
      <w:r>
        <w:t xml:space="preserve"> </w:t>
      </w:r>
      <w:r w:rsidR="0051520F">
        <w:t xml:space="preserve">diclofenac 3%, 5-fluorouracil (5FU) and </w:t>
      </w:r>
      <w:proofErr w:type="spellStart"/>
      <w:r w:rsidR="0051520F">
        <w:t>imiquimod</w:t>
      </w:r>
      <w:proofErr w:type="spellEnd"/>
      <w:r>
        <w:t xml:space="preserve">, </w:t>
      </w:r>
      <w:proofErr w:type="spellStart"/>
      <w:r>
        <w:t>ingenol</w:t>
      </w:r>
      <w:proofErr w:type="spellEnd"/>
      <w:r>
        <w:t xml:space="preserve"> </w:t>
      </w:r>
      <w:proofErr w:type="spellStart"/>
      <w:r>
        <w:t>mebutate</w:t>
      </w:r>
      <w:proofErr w:type="spellEnd"/>
      <w:r>
        <w:t xml:space="preserve"> had s</w:t>
      </w:r>
      <w:r w:rsidRPr="00B10C35">
        <w:t xml:space="preserve">imilar </w:t>
      </w:r>
      <w:r>
        <w:t>efficacy (complete clearance rates)</w:t>
      </w:r>
      <w:r w:rsidRPr="00B10C35">
        <w:t xml:space="preserve"> despite a shorter course of therapy </w:t>
      </w:r>
      <w:r>
        <w:t xml:space="preserve">and similar, acceptable tolerability. </w:t>
      </w:r>
    </w:p>
    <w:p w:rsidR="00537E8D" w:rsidRDefault="002C4A9F" w:rsidP="002F438F">
      <w:pPr>
        <w:pStyle w:val="ListBullet2"/>
        <w:ind w:left="360"/>
      </w:pPr>
      <w:r>
        <w:t xml:space="preserve">CONCLUSIONS:  </w:t>
      </w:r>
      <w:r>
        <w:fldChar w:fldCharType="begin"/>
      </w:r>
      <w:r>
        <w:instrText xml:space="preserve"> REF Conclusions \h </w:instrText>
      </w:r>
      <w:r>
        <w:fldChar w:fldCharType="separate"/>
      </w:r>
      <w:proofErr w:type="spellStart"/>
      <w:r w:rsidR="00374D1B">
        <w:t>Ingenol</w:t>
      </w:r>
      <w:proofErr w:type="spellEnd"/>
      <w:r w:rsidR="00374D1B">
        <w:t xml:space="preserve"> </w:t>
      </w:r>
      <w:proofErr w:type="spellStart"/>
      <w:r w:rsidR="00374D1B">
        <w:t>mebutate</w:t>
      </w:r>
      <w:proofErr w:type="spellEnd"/>
      <w:r w:rsidR="00374D1B">
        <w:t xml:space="preserve"> is a safe, well tolerated, cosmetically acceptable and efficacious short-duration treatment alternative to other topical field-based pharmacotherapies for </w:t>
      </w:r>
      <w:proofErr w:type="spellStart"/>
      <w:r w:rsidR="00374D1B">
        <w:t>nonhypertrophic</w:t>
      </w:r>
      <w:proofErr w:type="spellEnd"/>
      <w:r w:rsidR="00374D1B">
        <w:t xml:space="preserve">, </w:t>
      </w:r>
      <w:proofErr w:type="spellStart"/>
      <w:r w:rsidR="00374D1B">
        <w:t>nonhyperkeratotic</w:t>
      </w:r>
      <w:proofErr w:type="spellEnd"/>
      <w:r w:rsidR="00374D1B">
        <w:t xml:space="preserve"> AK in </w:t>
      </w:r>
      <w:proofErr w:type="spellStart"/>
      <w:r w:rsidR="00374D1B">
        <w:t>immunocompetent</w:t>
      </w:r>
      <w:proofErr w:type="spellEnd"/>
      <w:r w:rsidR="00374D1B">
        <w:t xml:space="preserve"> individuals. The main advantages of </w:t>
      </w:r>
      <w:proofErr w:type="spellStart"/>
      <w:r w:rsidR="00374D1B">
        <w:t>ingenol</w:t>
      </w:r>
      <w:proofErr w:type="spellEnd"/>
      <w:r w:rsidR="00374D1B">
        <w:t xml:space="preserve"> </w:t>
      </w:r>
      <w:proofErr w:type="spellStart"/>
      <w:r w:rsidR="00374D1B">
        <w:t>mebutate</w:t>
      </w:r>
      <w:proofErr w:type="spellEnd"/>
      <w:r w:rsidR="00374D1B">
        <w:t xml:space="preserve"> relative to other topical pharmacotherapies are that it achieves similar complete clearance rates using a much shorter </w:t>
      </w:r>
      <w:proofErr w:type="gramStart"/>
      <w:r w:rsidR="00374D1B">
        <w:t>treatment</w:t>
      </w:r>
      <w:proofErr w:type="gramEnd"/>
      <w:r w:rsidR="00374D1B">
        <w:t xml:space="preserve"> duration, and the overall course of therapy, from start of treatment to recovery from local skin reactions, may be shorter than the actual treatment period alone (excluding recovery time) for other topical pharmacotherapies. Patient adherence to therapy may be better with </w:t>
      </w:r>
      <w:proofErr w:type="spellStart"/>
      <w:r w:rsidR="00374D1B">
        <w:t>ingenol</w:t>
      </w:r>
      <w:proofErr w:type="spellEnd"/>
      <w:r w:rsidR="00374D1B">
        <w:t xml:space="preserve"> </w:t>
      </w:r>
      <w:proofErr w:type="spellStart"/>
      <w:r w:rsidR="00374D1B">
        <w:t>mebutate</w:t>
      </w:r>
      <w:proofErr w:type="spellEnd"/>
      <w:r w:rsidR="00374D1B">
        <w:t xml:space="preserve"> than other topical drug therapies because of the simpler and shorter dosage regimen; however, this potential advantage has not been evaluated in head-to-head trials. The drug’s relative efficacy and safety in immunocompromised patients, long-term (&gt; 1 year) durability of effects, recurrence rates and safety, and use in combination with other drug and nondrug field-based therapies have not been adequately evaluated. Its unique dual mechanism of action may justify a trial of </w:t>
      </w:r>
      <w:proofErr w:type="spellStart"/>
      <w:r w:rsidR="00374D1B">
        <w:t>ingenol</w:t>
      </w:r>
      <w:proofErr w:type="spellEnd"/>
      <w:r w:rsidR="00374D1B">
        <w:t xml:space="preserve"> </w:t>
      </w:r>
      <w:proofErr w:type="spellStart"/>
      <w:r w:rsidR="00374D1B">
        <w:t>mebutate</w:t>
      </w:r>
      <w:proofErr w:type="spellEnd"/>
      <w:r w:rsidR="00374D1B">
        <w:t xml:space="preserve"> in patients who inadequately respond to other topical therapies; however, the efficacy of </w:t>
      </w:r>
      <w:proofErr w:type="spellStart"/>
      <w:r w:rsidR="00374D1B">
        <w:t>ingenol</w:t>
      </w:r>
      <w:proofErr w:type="spellEnd"/>
      <w:r w:rsidR="00374D1B">
        <w:t xml:space="preserve"> </w:t>
      </w:r>
      <w:proofErr w:type="spellStart"/>
      <w:r w:rsidR="00374D1B">
        <w:t>mebutate</w:t>
      </w:r>
      <w:proofErr w:type="spellEnd"/>
      <w:r w:rsidR="00374D1B">
        <w:t xml:space="preserve"> in recalcitrant AK has not been evaluated. </w:t>
      </w:r>
      <w:r>
        <w:fldChar w:fldCharType="end"/>
      </w:r>
    </w:p>
    <w:p w:rsidR="00017C36" w:rsidRDefault="00017C36">
      <w:pPr>
        <w:spacing w:before="0" w:after="0"/>
        <w:rPr>
          <w:rFonts w:ascii="Arial" w:hAnsi="Arial"/>
          <w:b/>
          <w:bCs/>
          <w:color w:val="000000"/>
          <w:u w:val="single"/>
        </w:rPr>
      </w:pPr>
      <w:r>
        <w:lastRenderedPageBreak/>
        <w:br w:type="page"/>
      </w:r>
    </w:p>
    <w:p w:rsidR="00537E8D" w:rsidRDefault="00537E8D" w:rsidP="008160D8">
      <w:pPr>
        <w:pStyle w:val="StyleHeading1Black"/>
      </w:pPr>
      <w:r>
        <w:t>Introduction</w:t>
      </w:r>
    </w:p>
    <w:p w:rsidR="00AF3DD9" w:rsidRDefault="00E352E7">
      <w:proofErr w:type="spellStart"/>
      <w:r>
        <w:t>Ingenol</w:t>
      </w:r>
      <w:proofErr w:type="spellEnd"/>
      <w:r>
        <w:t xml:space="preserve"> </w:t>
      </w:r>
      <w:proofErr w:type="spellStart"/>
      <w:r>
        <w:t>mebutate</w:t>
      </w:r>
      <w:proofErr w:type="spellEnd"/>
      <w:r w:rsidR="00D312A7">
        <w:t xml:space="preserve"> </w:t>
      </w:r>
      <w:r w:rsidR="00D93D73">
        <w:t xml:space="preserve">gel </w:t>
      </w:r>
      <w:r w:rsidR="004E4984">
        <w:t>(</w:t>
      </w:r>
      <w:r w:rsidR="00DC4AEF">
        <w:t xml:space="preserve">PEP005; </w:t>
      </w:r>
      <w:r w:rsidR="004E4984">
        <w:t>PICATO</w:t>
      </w:r>
      <w:r w:rsidR="00DC4AEF">
        <w:t xml:space="preserve"> </w:t>
      </w:r>
      <w:r w:rsidR="004E4984">
        <w:t xml:space="preserve">by Leo </w:t>
      </w:r>
      <w:proofErr w:type="spellStart"/>
      <w:r w:rsidR="004E4984">
        <w:t>Pharma</w:t>
      </w:r>
      <w:proofErr w:type="spellEnd"/>
      <w:r w:rsidR="004E4984">
        <w:t xml:space="preserve"> AS) </w:t>
      </w:r>
      <w:r w:rsidR="0051511F">
        <w:t>is</w:t>
      </w:r>
      <w:r w:rsidR="00D312A7">
        <w:t xml:space="preserve"> the fourth</w:t>
      </w:r>
      <w:r>
        <w:t xml:space="preserve"> </w:t>
      </w:r>
      <w:r w:rsidR="00D312A7">
        <w:t>patient-administered,</w:t>
      </w:r>
      <w:r>
        <w:t xml:space="preserve"> field-directed </w:t>
      </w:r>
      <w:r w:rsidR="00D0581F">
        <w:t xml:space="preserve">topical </w:t>
      </w:r>
      <w:r w:rsidR="00D93D73">
        <w:t>product</w:t>
      </w:r>
      <w:r>
        <w:t xml:space="preserve"> </w:t>
      </w:r>
      <w:r w:rsidR="00D312A7">
        <w:t xml:space="preserve">approved by the </w:t>
      </w:r>
      <w:r w:rsidR="005637EC">
        <w:t>Food and Drug Administration</w:t>
      </w:r>
      <w:r>
        <w:t xml:space="preserve"> for </w:t>
      </w:r>
      <w:r w:rsidR="00D312A7">
        <w:t xml:space="preserve">the treatment of </w:t>
      </w:r>
      <w:r>
        <w:t>actinic keratosis</w:t>
      </w:r>
      <w:r w:rsidR="00460180">
        <w:t xml:space="preserve"> (AK)</w:t>
      </w:r>
      <w:r w:rsidR="00537E8D">
        <w:t>.</w:t>
      </w:r>
      <w:r w:rsidR="00D0581F">
        <w:t xml:space="preserve"> </w:t>
      </w:r>
      <w:r w:rsidR="00460180">
        <w:t>AK</w:t>
      </w:r>
      <w:r w:rsidR="00D93D73">
        <w:t>, also referred to as solar keratosis</w:t>
      </w:r>
      <w:r w:rsidR="00374D1B">
        <w:t>,</w:t>
      </w:r>
      <w:r w:rsidR="00D93D73">
        <w:t xml:space="preserve"> </w:t>
      </w:r>
      <w:proofErr w:type="spellStart"/>
      <w:r w:rsidR="00D93D73">
        <w:t>intraepidermal</w:t>
      </w:r>
      <w:proofErr w:type="spellEnd"/>
      <w:r w:rsidR="00D93D73">
        <w:t xml:space="preserve"> SCC and SCC in situ,</w:t>
      </w:r>
      <w:r w:rsidR="005701DF">
        <w:t xml:space="preserve"> is an ultraviolet light-induced </w:t>
      </w:r>
      <w:proofErr w:type="spellStart"/>
      <w:r w:rsidR="006C38C5">
        <w:t>epidermal</w:t>
      </w:r>
      <w:r w:rsidR="00AF3DD9">
        <w:t>ly</w:t>
      </w:r>
      <w:proofErr w:type="spellEnd"/>
      <w:r w:rsidR="00AF3DD9">
        <w:t>-confined keratinocyte</w:t>
      </w:r>
      <w:r w:rsidR="006C38C5">
        <w:t xml:space="preserve"> dysplasia </w:t>
      </w:r>
      <w:r w:rsidR="00AF3DD9">
        <w:t xml:space="preserve">that is thought to </w:t>
      </w:r>
      <w:r w:rsidR="006C38C5">
        <w:t xml:space="preserve">represent an early, premalignant lesion on the continuum of progression to </w:t>
      </w:r>
      <w:r w:rsidR="00AF3DD9">
        <w:t xml:space="preserve">invasive </w:t>
      </w:r>
      <w:r w:rsidR="006C38C5">
        <w:t>cutaneous squamous cell carcinoma (SCC)</w:t>
      </w:r>
      <w:r w:rsidR="00822E49">
        <w:t xml:space="preserve">. </w:t>
      </w:r>
      <w:r w:rsidR="00623884">
        <w:t xml:space="preserve">Risk factors for AK include </w:t>
      </w:r>
      <w:r w:rsidR="00623884" w:rsidRPr="00623884">
        <w:t xml:space="preserve">age, male sex, geography, fair skin (Fitzpatrick skin </w:t>
      </w:r>
      <w:proofErr w:type="gramStart"/>
      <w:r w:rsidR="00623884" w:rsidRPr="00623884">
        <w:t>types</w:t>
      </w:r>
      <w:proofErr w:type="gramEnd"/>
      <w:r w:rsidR="00623884" w:rsidRPr="00623884">
        <w:t xml:space="preserve"> I-III), immune system deficiency, human papillomavirus infection, and genetic syndromes that increase UV sensitivity</w:t>
      </w:r>
      <w:r w:rsidR="00623884">
        <w:t>.</w:t>
      </w:r>
      <w:bookmarkStart w:id="1" w:name="_Ref379373035"/>
      <w:r w:rsidR="00623884">
        <w:rPr>
          <w:rStyle w:val="EndnoteReference"/>
        </w:rPr>
        <w:endnoteReference w:id="1"/>
      </w:r>
      <w:bookmarkEnd w:id="1"/>
      <w:r w:rsidR="00623884" w:rsidRPr="00623884">
        <w:t xml:space="preserve"> </w:t>
      </w:r>
      <w:r w:rsidR="00D93D73">
        <w:t>AK is considered to be the most common skin lesion with malignant potential, and i</w:t>
      </w:r>
      <w:r w:rsidR="00A51740">
        <w:t>ts presence</w:t>
      </w:r>
      <w:r w:rsidR="00AF3DD9">
        <w:t xml:space="preserve"> indicates </w:t>
      </w:r>
      <w:r w:rsidR="00A51740">
        <w:t>increase</w:t>
      </w:r>
      <w:r w:rsidR="00AF3DD9">
        <w:t>d</w:t>
      </w:r>
      <w:r w:rsidR="00A51740">
        <w:t xml:space="preserve"> risk </w:t>
      </w:r>
      <w:r w:rsidR="00AF3DD9">
        <w:t>of</w:t>
      </w:r>
      <w:r w:rsidR="00A51740">
        <w:t xml:space="preserve"> all skin cancers.</w:t>
      </w:r>
      <w:r w:rsidR="00822E49">
        <w:t xml:space="preserve"> </w:t>
      </w:r>
    </w:p>
    <w:p w:rsidR="00537E8D" w:rsidRDefault="00EB243B">
      <w:r>
        <w:t>The clinical course of AK is variable; lesions</w:t>
      </w:r>
      <w:r w:rsidR="00460180">
        <w:t xml:space="preserve"> may remain stable, spontaneously regress or progress to dermis-invading SCC</w:t>
      </w:r>
      <w:r>
        <w:t>, and while some lesions regress new ones may appear</w:t>
      </w:r>
      <w:r w:rsidR="00460180">
        <w:t xml:space="preserve">. </w:t>
      </w:r>
      <w:r w:rsidR="00E77939">
        <w:t xml:space="preserve">Many nonvisible subclinical lesions may exist for every visible AK lesion on the skin. </w:t>
      </w:r>
      <w:r w:rsidR="00DB74B4">
        <w:t xml:space="preserve">Patients with AK </w:t>
      </w:r>
      <w:r w:rsidR="005637EC">
        <w:t xml:space="preserve">have a chronic disease, as they </w:t>
      </w:r>
      <w:r w:rsidR="00DB74B4">
        <w:t xml:space="preserve">continue to develop AK </w:t>
      </w:r>
      <w:r w:rsidR="0006532A">
        <w:t xml:space="preserve">lesions </w:t>
      </w:r>
      <w:r w:rsidR="00DB74B4">
        <w:t>during their lifetime</w:t>
      </w:r>
      <w:r w:rsidR="005C22E9">
        <w:t>.</w:t>
      </w:r>
      <w:r w:rsidR="0006532A">
        <w:t xml:space="preserve"> </w:t>
      </w:r>
      <w:r w:rsidR="00A21D34">
        <w:t>Estimates of t</w:t>
      </w:r>
      <w:r w:rsidR="004E4984">
        <w:t xml:space="preserve">he probability that </w:t>
      </w:r>
      <w:r w:rsidR="00F119E3" w:rsidRPr="00A21D34">
        <w:rPr>
          <w:i/>
        </w:rPr>
        <w:t xml:space="preserve">one </w:t>
      </w:r>
      <w:r w:rsidR="004E4984" w:rsidRPr="00A21D34">
        <w:rPr>
          <w:i/>
        </w:rPr>
        <w:t xml:space="preserve">AK </w:t>
      </w:r>
      <w:r w:rsidR="00F119E3" w:rsidRPr="00A21D34">
        <w:rPr>
          <w:i/>
        </w:rPr>
        <w:t>lesion</w:t>
      </w:r>
      <w:r w:rsidR="00F119E3">
        <w:t xml:space="preserve"> </w:t>
      </w:r>
      <w:r w:rsidR="004E4984">
        <w:t xml:space="preserve">will progress to </w:t>
      </w:r>
      <w:r w:rsidR="00F119E3">
        <w:t xml:space="preserve">cutaneous </w:t>
      </w:r>
      <w:r w:rsidR="004E4984">
        <w:t xml:space="preserve">SCC </w:t>
      </w:r>
      <w:r w:rsidR="00A21D34">
        <w:t>vary widely,</w:t>
      </w:r>
      <w:r w:rsidR="004E4984">
        <w:t xml:space="preserve"> rang</w:t>
      </w:r>
      <w:r w:rsidR="00A21D34">
        <w:t>ing</w:t>
      </w:r>
      <w:r w:rsidR="004E4984">
        <w:t xml:space="preserve"> from 0.03% to 20% per year.</w:t>
      </w:r>
      <w:r w:rsidR="004E4984">
        <w:rPr>
          <w:rStyle w:val="EndnoteReference"/>
        </w:rPr>
        <w:endnoteReference w:id="2"/>
      </w:r>
      <w:r w:rsidR="00F119E3" w:rsidRPr="00F119E3">
        <w:rPr>
          <w:rFonts w:ascii="Arial" w:hAnsi="Arial" w:cs="Arial"/>
          <w:sz w:val="19"/>
          <w:szCs w:val="19"/>
        </w:rPr>
        <w:t xml:space="preserve"> </w:t>
      </w:r>
      <w:r w:rsidR="00A21D34">
        <w:rPr>
          <w:rFonts w:ascii="Arial" w:hAnsi="Arial" w:cs="Arial"/>
          <w:sz w:val="19"/>
          <w:szCs w:val="19"/>
        </w:rPr>
        <w:t>I</w:t>
      </w:r>
      <w:r w:rsidR="00F119E3" w:rsidRPr="00A51740">
        <w:rPr>
          <w:szCs w:val="19"/>
        </w:rPr>
        <w:t xml:space="preserve">ndividuals have an average of about 8 AK lesions; therefore, the probability that a </w:t>
      </w:r>
      <w:r w:rsidR="00F119E3" w:rsidRPr="00A21D34">
        <w:rPr>
          <w:i/>
          <w:szCs w:val="19"/>
        </w:rPr>
        <w:t>person</w:t>
      </w:r>
      <w:r w:rsidR="00F119E3" w:rsidRPr="00A51740">
        <w:rPr>
          <w:szCs w:val="19"/>
        </w:rPr>
        <w:t xml:space="preserve"> will develop cutaneous SCC is estimated to be 0.15% to 80%.</w:t>
      </w:r>
      <w:r w:rsidR="00F119E3" w:rsidRPr="00A51740">
        <w:rPr>
          <w:rStyle w:val="EndnoteReference"/>
          <w:szCs w:val="19"/>
        </w:rPr>
        <w:endnoteReference w:id="3"/>
      </w:r>
      <w:r w:rsidR="00F119E3" w:rsidRPr="00A51740">
        <w:rPr>
          <w:rFonts w:ascii="Arial" w:hAnsi="Arial" w:cs="Arial"/>
          <w:szCs w:val="19"/>
        </w:rPr>
        <w:t xml:space="preserve"> </w:t>
      </w:r>
      <w:r w:rsidR="00A21D34" w:rsidRPr="00A21D34">
        <w:t xml:space="preserve">In </w:t>
      </w:r>
      <w:r w:rsidR="00F119E3" w:rsidRPr="00A21D34">
        <w:t xml:space="preserve">the </w:t>
      </w:r>
      <w:r w:rsidR="00A21D34" w:rsidRPr="00A21D34">
        <w:t>VA’s</w:t>
      </w:r>
      <w:r w:rsidR="00F119E3" w:rsidRPr="00A21D34">
        <w:t xml:space="preserve"> Topical </w:t>
      </w:r>
      <w:proofErr w:type="spellStart"/>
      <w:r w:rsidR="00F119E3" w:rsidRPr="00A21D34">
        <w:t>Tretinoin</w:t>
      </w:r>
      <w:proofErr w:type="spellEnd"/>
      <w:r w:rsidR="00F119E3" w:rsidRPr="00A21D34">
        <w:t xml:space="preserve"> Chemoprevention Trial, </w:t>
      </w:r>
      <w:r w:rsidR="00A21D34">
        <w:t>t</w:t>
      </w:r>
      <w:r w:rsidR="00A21D34" w:rsidRPr="00A21D34">
        <w:t xml:space="preserve">he risk of progression of AK to primary </w:t>
      </w:r>
      <w:r w:rsidR="00C100B1" w:rsidRPr="00A21D34">
        <w:t xml:space="preserve">invasive or in situ </w:t>
      </w:r>
      <w:r w:rsidR="00A21D34" w:rsidRPr="00A21D34">
        <w:t xml:space="preserve">SCC </w:t>
      </w:r>
      <w:r w:rsidR="00C100B1">
        <w:t>in the study’s</w:t>
      </w:r>
      <w:r w:rsidR="00C100B1" w:rsidRPr="00A21D34">
        <w:t xml:space="preserve"> </w:t>
      </w:r>
      <w:r w:rsidR="00C100B1">
        <w:t>high risk</w:t>
      </w:r>
      <w:r w:rsidR="00C100B1" w:rsidRPr="00A21D34">
        <w:t xml:space="preserve"> population </w:t>
      </w:r>
      <w:r w:rsidR="00A21D34" w:rsidRPr="00A21D34">
        <w:t>was 0.60% at 1 year and 2.57% at 4 years.</w:t>
      </w:r>
      <w:r w:rsidR="00C100B1">
        <w:rPr>
          <w:rStyle w:val="EndnoteReference"/>
        </w:rPr>
        <w:endnoteReference w:id="4"/>
      </w:r>
      <w:r w:rsidR="00F119E3" w:rsidRPr="00A21D34">
        <w:t xml:space="preserve"> </w:t>
      </w:r>
      <w:r w:rsidR="00C100B1">
        <w:t>A</w:t>
      </w:r>
      <w:r w:rsidR="00A21D34" w:rsidRPr="00A21D34">
        <w:t>bout</w:t>
      </w:r>
      <w:r w:rsidR="00F119E3" w:rsidRPr="00A21D34">
        <w:t xml:space="preserve"> 65% of all primary c</w:t>
      </w:r>
      <w:r w:rsidR="00A21D34" w:rsidRPr="00A21D34">
        <w:t xml:space="preserve">utaneous </w:t>
      </w:r>
      <w:r w:rsidR="00F119E3" w:rsidRPr="00A21D34">
        <w:t xml:space="preserve">SCCs and 36% of all primary basal cell carcinomas (BCCs) </w:t>
      </w:r>
      <w:r w:rsidR="00A21D34">
        <w:t>had originated from</w:t>
      </w:r>
      <w:r w:rsidR="00F119E3" w:rsidRPr="00A21D34">
        <w:t xml:space="preserve"> AK</w:t>
      </w:r>
      <w:r w:rsidR="00A21D34">
        <w:t xml:space="preserve"> lesion</w:t>
      </w:r>
      <w:r w:rsidR="00F119E3" w:rsidRPr="00A21D34">
        <w:t>s.</w:t>
      </w:r>
      <w:r w:rsidR="00F119E3">
        <w:rPr>
          <w:rFonts w:ascii="Arial" w:hAnsi="Arial" w:cs="Arial"/>
          <w:sz w:val="19"/>
          <w:szCs w:val="19"/>
        </w:rPr>
        <w:t xml:space="preserve"> </w:t>
      </w:r>
    </w:p>
    <w:p w:rsidR="00EB243B" w:rsidRDefault="00EB243B">
      <w:r>
        <w:t xml:space="preserve">Treatment is aimed at preventing the </w:t>
      </w:r>
      <w:r w:rsidR="00BB5B94">
        <w:t>progression</w:t>
      </w:r>
      <w:r>
        <w:t xml:space="preserve"> </w:t>
      </w:r>
      <w:r w:rsidR="00BB5B94">
        <w:t>to</w:t>
      </w:r>
      <w:r>
        <w:t xml:space="preserve"> SCC, relieving symptoms such as bleeding, and improving </w:t>
      </w:r>
      <w:proofErr w:type="spellStart"/>
      <w:r>
        <w:t>cosmesis</w:t>
      </w:r>
      <w:proofErr w:type="spellEnd"/>
      <w:r>
        <w:t>. The interventions may be provider- or patient-administered, and be lesion-</w:t>
      </w:r>
      <w:r w:rsidR="00DB0340">
        <w:t>directed (when there are isolated lesions)</w:t>
      </w:r>
      <w:r>
        <w:t xml:space="preserve"> or field-directed</w:t>
      </w:r>
      <w:r w:rsidR="00DB0340">
        <w:t xml:space="preserve"> (when there are multiple lesions in a given area)</w:t>
      </w:r>
      <w:r w:rsidR="00211846">
        <w:t>.</w:t>
      </w:r>
      <w:r>
        <w:t xml:space="preserve"> </w:t>
      </w:r>
      <w:r w:rsidR="00211846">
        <w:t>Field-directed</w:t>
      </w:r>
      <w:r>
        <w:t xml:space="preserve"> treatment is applied to a</w:t>
      </w:r>
      <w:r w:rsidR="00B03C7B">
        <w:t xml:space="preserve"> whole</w:t>
      </w:r>
      <w:r>
        <w:t xml:space="preserve"> area </w:t>
      </w:r>
      <w:r w:rsidR="00822E49">
        <w:t xml:space="preserve">of actinically damaged skin </w:t>
      </w:r>
      <w:r>
        <w:t xml:space="preserve">that may </w:t>
      </w:r>
      <w:r w:rsidR="00DF44A9">
        <w:t>have</w:t>
      </w:r>
      <w:r>
        <w:t xml:space="preserve"> multiple </w:t>
      </w:r>
      <w:r w:rsidR="00DF44A9">
        <w:t xml:space="preserve">visible and subclinical </w:t>
      </w:r>
      <w:r>
        <w:t xml:space="preserve">lesions </w:t>
      </w:r>
      <w:r w:rsidR="00DF44A9">
        <w:t xml:space="preserve">due to field </w:t>
      </w:r>
      <w:proofErr w:type="spellStart"/>
      <w:r w:rsidR="00DF44A9">
        <w:t>cancerization</w:t>
      </w:r>
      <w:proofErr w:type="spellEnd"/>
      <w:r>
        <w:t xml:space="preserve">. </w:t>
      </w:r>
      <w:r w:rsidR="00183D6E">
        <w:t xml:space="preserve">Lesion-directed therapies are liquid nitrogen, electrodessication and curettage. </w:t>
      </w:r>
      <w:r w:rsidR="00BD3BB8">
        <w:t>The physician-administered, f</w:t>
      </w:r>
      <w:r>
        <w:t xml:space="preserve">ield-directed therapies </w:t>
      </w:r>
      <w:r w:rsidR="00183D6E">
        <w:t xml:space="preserve">include photodynamic therapy, chemical peels, </w:t>
      </w:r>
      <w:proofErr w:type="spellStart"/>
      <w:r w:rsidR="00183D6E">
        <w:t>dermabrasion</w:t>
      </w:r>
      <w:proofErr w:type="spellEnd"/>
      <w:r w:rsidR="00183D6E">
        <w:t xml:space="preserve"> and laser. The patient-administered field-directed therapies are topical formulations of </w:t>
      </w:r>
      <w:proofErr w:type="spellStart"/>
      <w:r w:rsidR="00183D6E">
        <w:t>ingenol</w:t>
      </w:r>
      <w:proofErr w:type="spellEnd"/>
      <w:r w:rsidR="00B03C7B">
        <w:t xml:space="preserve"> </w:t>
      </w:r>
      <w:proofErr w:type="spellStart"/>
      <w:r w:rsidR="00B03C7B">
        <w:t>mebutate</w:t>
      </w:r>
      <w:proofErr w:type="spellEnd"/>
      <w:r w:rsidR="00183D6E">
        <w:t>, 5-fluorouracil</w:t>
      </w:r>
      <w:r w:rsidR="001E2EFB">
        <w:t xml:space="preserve"> (5FU)</w:t>
      </w:r>
      <w:r w:rsidR="00183D6E">
        <w:t xml:space="preserve">, </w:t>
      </w:r>
      <w:proofErr w:type="spellStart"/>
      <w:r w:rsidR="00183D6E">
        <w:t>imiquimod</w:t>
      </w:r>
      <w:proofErr w:type="spellEnd"/>
      <w:r w:rsidR="00183D6E">
        <w:t xml:space="preserve"> and diclofenac. Topical </w:t>
      </w:r>
      <w:proofErr w:type="spellStart"/>
      <w:r w:rsidR="00183D6E">
        <w:t>retinoids</w:t>
      </w:r>
      <w:proofErr w:type="spellEnd"/>
      <w:r w:rsidR="00183D6E">
        <w:t xml:space="preserve"> have had mixed results in clinical trials.</w:t>
      </w:r>
      <w:r w:rsidR="00BD3BB8" w:rsidRPr="00BD3BB8">
        <w:t xml:space="preserve"> </w:t>
      </w:r>
      <w:r w:rsidR="00273F43">
        <w:t>Improved response has been shown when a topical agent (diclofenac,</w:t>
      </w:r>
      <w:r w:rsidR="00273F43">
        <w:rPr>
          <w:rStyle w:val="EndnoteReference"/>
        </w:rPr>
        <w:endnoteReference w:id="5"/>
      </w:r>
      <w:r w:rsidR="00273F43">
        <w:t xml:space="preserve"> </w:t>
      </w:r>
      <w:proofErr w:type="spellStart"/>
      <w:r w:rsidR="00273F43">
        <w:t>imiquimod</w:t>
      </w:r>
      <w:proofErr w:type="spellEnd"/>
      <w:r w:rsidR="00273F43">
        <w:rPr>
          <w:rStyle w:val="EndnoteReference"/>
        </w:rPr>
        <w:endnoteReference w:id="6"/>
      </w:r>
      <w:r w:rsidR="00273F43" w:rsidRPr="00273F43">
        <w:rPr>
          <w:vertAlign w:val="superscript"/>
        </w:rPr>
        <w:t>,</w:t>
      </w:r>
      <w:r w:rsidR="00273F43">
        <w:rPr>
          <w:rStyle w:val="EndnoteReference"/>
        </w:rPr>
        <w:endnoteReference w:id="7"/>
      </w:r>
      <w:r w:rsidR="00273F43">
        <w:t xml:space="preserve"> or 5FU</w:t>
      </w:r>
      <w:r w:rsidR="00273F43">
        <w:rPr>
          <w:rStyle w:val="EndnoteReference"/>
        </w:rPr>
        <w:endnoteReference w:id="8"/>
      </w:r>
      <w:r w:rsidR="00273F43">
        <w:t xml:space="preserve">) was investigated as a pretreatment before cryotherapy. </w:t>
      </w:r>
      <w:r w:rsidR="001E2EFB">
        <w:t>Because field-directed therapies treat subclinical lesions, they</w:t>
      </w:r>
      <w:r w:rsidR="00BD3BB8">
        <w:t xml:space="preserve"> are generally preferred as they may be more appropriate than lesion-directed therapies for preventing SCC. </w:t>
      </w:r>
    </w:p>
    <w:p w:rsidR="00D0581F" w:rsidRDefault="00D0581F" w:rsidP="00162076">
      <w:r>
        <w:t xml:space="preserve">A number of factors other than </w:t>
      </w:r>
      <w:r w:rsidR="002517B9">
        <w:t xml:space="preserve">efficacy, safety, tolerability, </w:t>
      </w:r>
      <w:r w:rsidR="00BD3BB8">
        <w:t>size of the affected</w:t>
      </w:r>
      <w:r>
        <w:t xml:space="preserve"> area (individual lesion versus field) and delivery of therapy (patient-applied or provider-performed) may be important considerations when specific field-directed drug therapy is selected. Other considerations include lesion characteristics (hypertrophic AKs generally require destructive therapies such as cryotherapy, surgery, or </w:t>
      </w:r>
      <w:proofErr w:type="spellStart"/>
      <w:r>
        <w:t>dermabrasion</w:t>
      </w:r>
      <w:proofErr w:type="spellEnd"/>
      <w:r>
        <w:t>), distribution of lesions, duration of therapy, tolerability of treatment (e.g., in terms of pain, inflammation, hypopigmentation, and scarring), recurrence rates, treatment cost</w:t>
      </w:r>
      <w:r w:rsidR="00B03C7B">
        <w:t>,</w:t>
      </w:r>
      <w:r>
        <w:t xml:space="preserve"> accessibility of treatment</w:t>
      </w:r>
      <w:r w:rsidR="00BD3BB8">
        <w:t>, patient adherence with therapy,</w:t>
      </w:r>
      <w:r w:rsidRPr="001452E3">
        <w:t xml:space="preserve"> </w:t>
      </w:r>
      <w:r w:rsidR="00BD3BB8">
        <w:t xml:space="preserve">history of skin cancer, immune status, previous treatment response and cosmetic </w:t>
      </w:r>
      <w:r w:rsidR="002517B9">
        <w:t xml:space="preserve">appearance. </w:t>
      </w:r>
    </w:p>
    <w:p w:rsidR="00537E8D" w:rsidRDefault="00537E8D">
      <w:r>
        <w:t xml:space="preserve">The purposes of this monograph are to (1) evaluate the available evidence of safety, tolerability, efficacy, cost, and other pharmaceutical issues that would be relevant to evaluating </w:t>
      </w:r>
      <w:proofErr w:type="spellStart"/>
      <w:r w:rsidR="002517B9">
        <w:t>ingenol</w:t>
      </w:r>
      <w:proofErr w:type="spellEnd"/>
      <w:r w:rsidR="002517B9">
        <w:t xml:space="preserve"> </w:t>
      </w:r>
      <w:proofErr w:type="spellStart"/>
      <w:r w:rsidR="002517B9">
        <w:t>mebutate</w:t>
      </w:r>
      <w:proofErr w:type="spellEnd"/>
      <w:r w:rsidR="002517B9">
        <w:t xml:space="preserve"> gel</w:t>
      </w:r>
      <w:r>
        <w:t xml:space="preserve"> for possible addition to the VA National Formulary; (2) define its role in therapy; and (3) identify parameters for its rational use in the VA.</w:t>
      </w:r>
    </w:p>
    <w:p w:rsidR="00537E8D" w:rsidRDefault="00537E8D" w:rsidP="008160D8">
      <w:pPr>
        <w:pStyle w:val="StyleHeading1Black"/>
      </w:pPr>
      <w:r>
        <w:t>Pharmacology/Pharmacokinetics</w:t>
      </w:r>
    </w:p>
    <w:p w:rsidR="00537E8D" w:rsidRDefault="00E113D5">
      <w:proofErr w:type="spellStart"/>
      <w:r>
        <w:t>Ingenol</w:t>
      </w:r>
      <w:proofErr w:type="spellEnd"/>
      <w:r>
        <w:t xml:space="preserve"> </w:t>
      </w:r>
      <w:proofErr w:type="spellStart"/>
      <w:r>
        <w:t>mebutate</w:t>
      </w:r>
      <w:proofErr w:type="spellEnd"/>
      <w:r w:rsidR="00C833ED" w:rsidRPr="00C833ED">
        <w:rPr>
          <w:rFonts w:ascii="Arial" w:hAnsi="Arial" w:cs="Arial"/>
          <w:sz w:val="20"/>
        </w:rPr>
        <w:t xml:space="preserve"> </w:t>
      </w:r>
      <w:r w:rsidR="00C833ED">
        <w:rPr>
          <w:rFonts w:ascii="Arial" w:hAnsi="Arial" w:cs="Arial"/>
          <w:sz w:val="20"/>
        </w:rPr>
        <w:t>(</w:t>
      </w:r>
      <w:r w:rsidR="00C833ED" w:rsidRPr="00C833ED">
        <w:rPr>
          <w:rStyle w:val="highlight1"/>
        </w:rPr>
        <w:t>ingenol</w:t>
      </w:r>
      <w:r w:rsidR="00C833ED" w:rsidRPr="00C833ED">
        <w:t>-3-angelate</w:t>
      </w:r>
      <w:r w:rsidR="00C833ED">
        <w:t>)</w:t>
      </w:r>
      <w:r w:rsidRPr="00C833ED">
        <w:rPr>
          <w:sz w:val="24"/>
        </w:rPr>
        <w:t xml:space="preserve"> </w:t>
      </w:r>
      <w:r>
        <w:t xml:space="preserve">is </w:t>
      </w:r>
      <w:r w:rsidR="00C100B1">
        <w:t xml:space="preserve">a purified, crystallized </w:t>
      </w:r>
      <w:r>
        <w:t>extract</w:t>
      </w:r>
      <w:r w:rsidR="00C100B1">
        <w:t xml:space="preserve"> </w:t>
      </w:r>
      <w:r>
        <w:t xml:space="preserve">from the </w:t>
      </w:r>
      <w:r w:rsidR="007F04A5">
        <w:t xml:space="preserve">sap of the </w:t>
      </w:r>
      <w:r>
        <w:t xml:space="preserve">plant Euphorbia </w:t>
      </w:r>
      <w:proofErr w:type="spellStart"/>
      <w:r>
        <w:t>peplus</w:t>
      </w:r>
      <w:proofErr w:type="spellEnd"/>
      <w:r>
        <w:t xml:space="preserve"> L. (E. </w:t>
      </w:r>
      <w:proofErr w:type="spellStart"/>
      <w:r>
        <w:t>peplus</w:t>
      </w:r>
      <w:proofErr w:type="spellEnd"/>
      <w:r w:rsidR="007F04A5">
        <w:t xml:space="preserve">; </w:t>
      </w:r>
      <w:r w:rsidR="007F04A5" w:rsidRPr="00B03C7B">
        <w:rPr>
          <w:rStyle w:val="Emphasis"/>
          <w:b w:val="0"/>
        </w:rPr>
        <w:t>petty spurge</w:t>
      </w:r>
      <w:r w:rsidR="007F04A5" w:rsidRPr="00B03C7B">
        <w:rPr>
          <w:rStyle w:val="st"/>
        </w:rPr>
        <w:t xml:space="preserve">, radium weed, cancer weed, </w:t>
      </w:r>
      <w:r w:rsidR="00504154">
        <w:rPr>
          <w:rStyle w:val="st"/>
        </w:rPr>
        <w:t>wart weed</w:t>
      </w:r>
      <w:r w:rsidR="00103458">
        <w:rPr>
          <w:rStyle w:val="st"/>
        </w:rPr>
        <w:t xml:space="preserve"> </w:t>
      </w:r>
      <w:r w:rsidR="007F04A5" w:rsidRPr="00B03C7B">
        <w:rPr>
          <w:rStyle w:val="st"/>
        </w:rPr>
        <w:t>or milkweed</w:t>
      </w:r>
      <w:r w:rsidR="00B03C7B">
        <w:rPr>
          <w:rStyle w:val="st"/>
        </w:rPr>
        <w:t xml:space="preserve">). E. </w:t>
      </w:r>
      <w:proofErr w:type="spellStart"/>
      <w:r w:rsidR="00B03C7B">
        <w:rPr>
          <w:rStyle w:val="st"/>
        </w:rPr>
        <w:t>peplus</w:t>
      </w:r>
      <w:proofErr w:type="spellEnd"/>
      <w:r w:rsidR="00211846">
        <w:rPr>
          <w:rStyle w:val="st"/>
        </w:rPr>
        <w:t xml:space="preserve"> is</w:t>
      </w:r>
      <w:r w:rsidR="002859EE">
        <w:rPr>
          <w:rStyle w:val="st"/>
        </w:rPr>
        <w:t xml:space="preserve"> a common garden weed</w:t>
      </w:r>
      <w:r w:rsidR="00103458">
        <w:rPr>
          <w:rStyle w:val="st"/>
        </w:rPr>
        <w:t xml:space="preserve"> in North America, Europe, North Africa, West Asia, New Zealand and Australia</w:t>
      </w:r>
      <w:r w:rsidR="002859EE">
        <w:rPr>
          <w:rStyle w:val="st"/>
        </w:rPr>
        <w:t>,</w:t>
      </w:r>
      <w:r w:rsidR="00B03C7B">
        <w:rPr>
          <w:rStyle w:val="st"/>
        </w:rPr>
        <w:t xml:space="preserve"> </w:t>
      </w:r>
      <w:r w:rsidR="00211846">
        <w:rPr>
          <w:rStyle w:val="st"/>
        </w:rPr>
        <w:t xml:space="preserve">and the ‘poisonous’ milky latex sap </w:t>
      </w:r>
      <w:r w:rsidR="00B03C7B">
        <w:rPr>
          <w:rStyle w:val="st"/>
        </w:rPr>
        <w:t xml:space="preserve">has been used </w:t>
      </w:r>
      <w:r w:rsidR="00CC15BF">
        <w:rPr>
          <w:rStyle w:val="st"/>
        </w:rPr>
        <w:t>for centur</w:t>
      </w:r>
      <w:r w:rsidR="00927885">
        <w:rPr>
          <w:rStyle w:val="st"/>
        </w:rPr>
        <w:t>i</w:t>
      </w:r>
      <w:r w:rsidR="00CC15BF">
        <w:rPr>
          <w:rStyle w:val="st"/>
        </w:rPr>
        <w:t xml:space="preserve">es </w:t>
      </w:r>
      <w:r w:rsidR="00B03C7B">
        <w:rPr>
          <w:rStyle w:val="st"/>
        </w:rPr>
        <w:t xml:space="preserve">as a </w:t>
      </w:r>
      <w:r w:rsidR="00CC15BF">
        <w:rPr>
          <w:rStyle w:val="st"/>
        </w:rPr>
        <w:t xml:space="preserve">traditional </w:t>
      </w:r>
      <w:r w:rsidR="00B03C7B">
        <w:rPr>
          <w:rStyle w:val="st"/>
        </w:rPr>
        <w:t xml:space="preserve">home remedy for </w:t>
      </w:r>
      <w:r w:rsidR="00CC15BF">
        <w:rPr>
          <w:rStyle w:val="st"/>
        </w:rPr>
        <w:t>skin cancers</w:t>
      </w:r>
      <w:r w:rsidR="00504154">
        <w:rPr>
          <w:rStyle w:val="st"/>
        </w:rPr>
        <w:t>, warts and corns</w:t>
      </w:r>
      <w:r w:rsidR="00537E8D" w:rsidRPr="00B03C7B">
        <w:t>.</w:t>
      </w:r>
      <w:r w:rsidR="003D09B2" w:rsidRPr="00B03C7B">
        <w:t xml:space="preserve"> </w:t>
      </w:r>
      <w:proofErr w:type="spellStart"/>
      <w:r w:rsidR="00BB5B94">
        <w:t>Ingenol</w:t>
      </w:r>
      <w:proofErr w:type="spellEnd"/>
      <w:r w:rsidR="00BB5B94">
        <w:t xml:space="preserve"> </w:t>
      </w:r>
      <w:proofErr w:type="spellStart"/>
      <w:r w:rsidR="00BB5B94">
        <w:lastRenderedPageBreak/>
        <w:t>mebutate</w:t>
      </w:r>
      <w:proofErr w:type="spellEnd"/>
      <w:r w:rsidR="00103458">
        <w:t xml:space="preserve">, a </w:t>
      </w:r>
      <w:proofErr w:type="spellStart"/>
      <w:r w:rsidR="00103458">
        <w:t>diterpene</w:t>
      </w:r>
      <w:proofErr w:type="spellEnd"/>
      <w:r w:rsidR="00103458">
        <w:t xml:space="preserve"> ester,</w:t>
      </w:r>
      <w:r>
        <w:t xml:space="preserve"> </w:t>
      </w:r>
      <w:r w:rsidR="00103458">
        <w:t xml:space="preserve">is the main active moiety in E. </w:t>
      </w:r>
      <w:proofErr w:type="spellStart"/>
      <w:r w:rsidR="00103458">
        <w:t>peplus</w:t>
      </w:r>
      <w:proofErr w:type="spellEnd"/>
      <w:r w:rsidR="00103458">
        <w:t xml:space="preserve"> sap. The pharmaceutical-grade compound </w:t>
      </w:r>
      <w:r>
        <w:t>is not considered a botanical substance because of its purity.</w:t>
      </w:r>
    </w:p>
    <w:p w:rsidR="00E113D5" w:rsidRPr="004E145B" w:rsidRDefault="009E2857">
      <w:r>
        <w:t xml:space="preserve">The mechanism of </w:t>
      </w:r>
      <w:proofErr w:type="spellStart"/>
      <w:r>
        <w:t>ingenol</w:t>
      </w:r>
      <w:proofErr w:type="spellEnd"/>
      <w:r>
        <w:t xml:space="preserve"> </w:t>
      </w:r>
      <w:proofErr w:type="spellStart"/>
      <w:r>
        <w:t>mebutate</w:t>
      </w:r>
      <w:proofErr w:type="spellEnd"/>
      <w:r>
        <w:t xml:space="preserve"> is not fully understood. </w:t>
      </w:r>
      <w:proofErr w:type="spellStart"/>
      <w:r w:rsidR="00E113D5">
        <w:t>Ingenol</w:t>
      </w:r>
      <w:proofErr w:type="spellEnd"/>
      <w:r w:rsidR="00E113D5">
        <w:t xml:space="preserve"> </w:t>
      </w:r>
      <w:proofErr w:type="spellStart"/>
      <w:r w:rsidR="00E113D5">
        <w:t>mebutate</w:t>
      </w:r>
      <w:proofErr w:type="spellEnd"/>
      <w:r w:rsidR="00E113D5">
        <w:t xml:space="preserve"> </w:t>
      </w:r>
      <w:r w:rsidR="00CC15BF" w:rsidRPr="008E6132">
        <w:t>modulat</w:t>
      </w:r>
      <w:r w:rsidR="00CC15BF">
        <w:t>es</w:t>
      </w:r>
      <w:r w:rsidR="00CC15BF" w:rsidRPr="008E6132">
        <w:t xml:space="preserve"> protein kinase C (PKC) functions by activating PKC delta and inhibiting PKC alpha</w:t>
      </w:r>
      <w:r w:rsidR="00CC15BF">
        <w:t xml:space="preserve">. It </w:t>
      </w:r>
      <w:r w:rsidR="00E9429C">
        <w:t>seems to have a two-</w:t>
      </w:r>
      <w:r w:rsidR="00241183">
        <w:t>part</w:t>
      </w:r>
      <w:r w:rsidR="00E9429C">
        <w:t xml:space="preserve"> mechanism of action. It </w:t>
      </w:r>
      <w:r w:rsidR="00E113D5">
        <w:t xml:space="preserve">induces local </w:t>
      </w:r>
      <w:proofErr w:type="spellStart"/>
      <w:r w:rsidR="00E113D5">
        <w:t>lesional</w:t>
      </w:r>
      <w:proofErr w:type="spellEnd"/>
      <w:r w:rsidR="00E113D5">
        <w:t xml:space="preserve"> cell death</w:t>
      </w:r>
      <w:r w:rsidR="00E9429C">
        <w:t xml:space="preserve"> (</w:t>
      </w:r>
      <w:proofErr w:type="spellStart"/>
      <w:r w:rsidR="00E9429C">
        <w:t>chemoablation</w:t>
      </w:r>
      <w:proofErr w:type="spellEnd"/>
      <w:r w:rsidR="00E9429C">
        <w:t>)</w:t>
      </w:r>
      <w:r w:rsidR="00623884">
        <w:t xml:space="preserve"> preferentially in transformed keratinocytes</w:t>
      </w:r>
      <w:r w:rsidR="00E113D5">
        <w:t xml:space="preserve"> </w:t>
      </w:r>
      <w:r w:rsidR="00E9429C">
        <w:t xml:space="preserve">by disrupting cell plasma membranes and mitochondria. It </w:t>
      </w:r>
      <w:r w:rsidR="00CC15BF">
        <w:t xml:space="preserve">also </w:t>
      </w:r>
      <w:r w:rsidR="00241183">
        <w:t xml:space="preserve">promotes an inflammatory response and eliminates remaining tumor cells by </w:t>
      </w:r>
      <w:r w:rsidR="00E9429C">
        <w:t>induc</w:t>
      </w:r>
      <w:r w:rsidR="00241183">
        <w:t>ing</w:t>
      </w:r>
      <w:r w:rsidR="00E9429C">
        <w:t xml:space="preserve"> neutrophil-mediated antibody-dependent cellular toxicity</w:t>
      </w:r>
      <w:r w:rsidR="00241183">
        <w:t>.</w:t>
      </w:r>
      <w:r w:rsidR="00E113D5">
        <w:t xml:space="preserve"> </w:t>
      </w:r>
      <w:r w:rsidR="00CC15BF">
        <w:t xml:space="preserve">The </w:t>
      </w:r>
      <w:r w:rsidR="00CC15BF" w:rsidRPr="00CC15BF">
        <w:t xml:space="preserve">cytotoxic functions of neutrophils are necessary for effective ablation of </w:t>
      </w:r>
      <w:r w:rsidR="00CC15BF" w:rsidRPr="004E145B">
        <w:t xml:space="preserve">lesions. </w:t>
      </w:r>
      <w:r w:rsidR="00F60627">
        <w:t xml:space="preserve">Results of mice studies showed that </w:t>
      </w:r>
      <w:proofErr w:type="spellStart"/>
      <w:r w:rsidR="00F60627">
        <w:t>ingenol</w:t>
      </w:r>
      <w:proofErr w:type="spellEnd"/>
      <w:r w:rsidR="00F60627">
        <w:t xml:space="preserve"> </w:t>
      </w:r>
      <w:proofErr w:type="spellStart"/>
      <w:r w:rsidR="00F60627">
        <w:t>mebutate</w:t>
      </w:r>
      <w:proofErr w:type="spellEnd"/>
      <w:r w:rsidR="00F60627">
        <w:t xml:space="preserve"> reduced </w:t>
      </w:r>
      <w:r w:rsidR="00A36F11" w:rsidRPr="00A36F11">
        <w:t xml:space="preserve">mutant </w:t>
      </w:r>
      <w:r w:rsidR="00F60627">
        <w:t>p53</w:t>
      </w:r>
      <w:r w:rsidR="00A36F11">
        <w:t xml:space="preserve"> tumor suppressor gene</w:t>
      </w:r>
      <w:r w:rsidR="00F60627">
        <w:t xml:space="preserve"> patches by about 70% relative to controls. These results suggested that the drug has the potential to clear subclinical lesions since </w:t>
      </w:r>
      <w:r w:rsidR="00F60627" w:rsidRPr="00C100B1">
        <w:t>p53</w:t>
      </w:r>
      <w:r w:rsidR="00F60627">
        <w:t xml:space="preserve"> mutations may be early initiating events in the formation of AK and SCC.</w:t>
      </w:r>
      <w:r w:rsidR="00F60627" w:rsidRPr="00F60627">
        <w:rPr>
          <w:vertAlign w:val="superscript"/>
        </w:rPr>
        <w:fldChar w:fldCharType="begin"/>
      </w:r>
      <w:r w:rsidR="00F60627" w:rsidRPr="00F60627">
        <w:rPr>
          <w:vertAlign w:val="superscript"/>
        </w:rPr>
        <w:instrText xml:space="preserve"> NOTEREF _Ref379373035 \h </w:instrText>
      </w:r>
      <w:r w:rsidR="00F60627">
        <w:rPr>
          <w:vertAlign w:val="superscript"/>
        </w:rPr>
        <w:instrText xml:space="preserve"> \* MERGEFORMAT </w:instrText>
      </w:r>
      <w:r w:rsidR="00F60627" w:rsidRPr="00F60627">
        <w:rPr>
          <w:vertAlign w:val="superscript"/>
        </w:rPr>
      </w:r>
      <w:r w:rsidR="00F60627" w:rsidRPr="00F60627">
        <w:rPr>
          <w:vertAlign w:val="superscript"/>
        </w:rPr>
        <w:fldChar w:fldCharType="separate"/>
      </w:r>
      <w:r w:rsidR="00D93D73">
        <w:rPr>
          <w:vertAlign w:val="superscript"/>
        </w:rPr>
        <w:t>1</w:t>
      </w:r>
      <w:r w:rsidR="00F60627" w:rsidRPr="00F60627">
        <w:rPr>
          <w:vertAlign w:val="superscript"/>
        </w:rPr>
        <w:fldChar w:fldCharType="end"/>
      </w:r>
      <w:r w:rsidR="00F60627">
        <w:t xml:space="preserve"> </w:t>
      </w:r>
      <w:proofErr w:type="spellStart"/>
      <w:r w:rsidR="004E145B" w:rsidRPr="004E145B">
        <w:t>Ingenol</w:t>
      </w:r>
      <w:proofErr w:type="spellEnd"/>
      <w:r w:rsidR="004E145B">
        <w:t xml:space="preserve"> </w:t>
      </w:r>
      <w:proofErr w:type="spellStart"/>
      <w:r w:rsidR="004E145B">
        <w:t>mebutate</w:t>
      </w:r>
      <w:proofErr w:type="spellEnd"/>
      <w:r w:rsidR="004E145B">
        <w:t xml:space="preserve"> is also being considered for investigations into</w:t>
      </w:r>
      <w:r w:rsidR="004E145B" w:rsidRPr="004E145B">
        <w:t xml:space="preserve"> </w:t>
      </w:r>
      <w:r w:rsidR="004E145B">
        <w:t>its</w:t>
      </w:r>
      <w:r w:rsidR="004E145B" w:rsidRPr="004E145B">
        <w:t xml:space="preserve"> chemotherapeutic </w:t>
      </w:r>
      <w:r w:rsidR="004E145B">
        <w:t xml:space="preserve">potential </w:t>
      </w:r>
      <w:r w:rsidR="004E145B" w:rsidRPr="004E145B">
        <w:t xml:space="preserve">for other types of </w:t>
      </w:r>
      <w:r w:rsidR="004E145B">
        <w:t xml:space="preserve">hematologic and solid tumor </w:t>
      </w:r>
      <w:r w:rsidR="004E145B" w:rsidRPr="004E145B">
        <w:t>cancers</w:t>
      </w:r>
      <w:r w:rsidR="004E145B">
        <w:t>.</w:t>
      </w:r>
    </w:p>
    <w:p w:rsidR="00E113D5" w:rsidRDefault="00E113D5">
      <w:r>
        <w:t xml:space="preserve">Blood concentrations of </w:t>
      </w:r>
      <w:proofErr w:type="spellStart"/>
      <w:r>
        <w:t>ingenol</w:t>
      </w:r>
      <w:proofErr w:type="spellEnd"/>
      <w:r>
        <w:t xml:space="preserve"> </w:t>
      </w:r>
      <w:proofErr w:type="spellStart"/>
      <w:r>
        <w:t>mebutate</w:t>
      </w:r>
      <w:proofErr w:type="spellEnd"/>
      <w:r>
        <w:t xml:space="preserve"> or its acyl isomer metabolites were not detectable (&lt; 0.1 ng/ml) after application of about 1 ml of 0.05% gel to a 100-cm</w:t>
      </w:r>
      <w:r w:rsidRPr="00E113D5">
        <w:rPr>
          <w:vertAlign w:val="superscript"/>
        </w:rPr>
        <w:t>2</w:t>
      </w:r>
      <w:r>
        <w:t xml:space="preserve"> contiguous area of skin (equivalent to four times the recommended application area) on the forearm daily for 2 consecutive days.</w:t>
      </w:r>
    </w:p>
    <w:p w:rsidR="00537E8D" w:rsidRDefault="00537E8D">
      <w:pPr>
        <w:pStyle w:val="Heading1"/>
      </w:pPr>
      <w:r>
        <w:t xml:space="preserve">FDA Approved Indication(s) </w:t>
      </w:r>
    </w:p>
    <w:p w:rsidR="009E4E80" w:rsidRDefault="00E113D5" w:rsidP="009E4E80">
      <w:pPr>
        <w:pStyle w:val="BodyText"/>
        <w:rPr>
          <w:rFonts w:ascii="Times New Roman" w:hAnsi="Times New Roman"/>
          <w:color w:val="000000"/>
          <w:sz w:val="22"/>
        </w:rPr>
      </w:pPr>
      <w:proofErr w:type="gramStart"/>
      <w:r>
        <w:rPr>
          <w:rFonts w:ascii="Times New Roman" w:hAnsi="Times New Roman"/>
          <w:color w:val="000000"/>
          <w:sz w:val="22"/>
        </w:rPr>
        <w:t>Topical treatment of actinic keratosis</w:t>
      </w:r>
      <w:r w:rsidR="009E4E80">
        <w:rPr>
          <w:rFonts w:ascii="Times New Roman" w:hAnsi="Times New Roman"/>
          <w:color w:val="000000"/>
          <w:sz w:val="22"/>
        </w:rPr>
        <w:t>.</w:t>
      </w:r>
      <w:proofErr w:type="gramEnd"/>
    </w:p>
    <w:p w:rsidR="00C0294D" w:rsidRDefault="00C0294D" w:rsidP="00C0294D">
      <w:pPr>
        <w:pStyle w:val="Heading1"/>
      </w:pPr>
      <w:r>
        <w:t>Potential Off-label Uses</w:t>
      </w:r>
    </w:p>
    <w:p w:rsidR="00C0294D" w:rsidRPr="00102B9E" w:rsidRDefault="00C0294D" w:rsidP="00C0294D">
      <w:pPr>
        <w:rPr>
          <w:i/>
        </w:rPr>
      </w:pPr>
      <w:r w:rsidRPr="00102B9E">
        <w:rPr>
          <w:i/>
        </w:rPr>
        <w:t>This section is not intended to promote any off-label uses. Off-label use should be evidence-based. See</w:t>
      </w:r>
      <w:r w:rsidR="005D56F7" w:rsidRPr="00102B9E">
        <w:rPr>
          <w:i/>
        </w:rPr>
        <w:t xml:space="preserve"> VA PBM-MAP and Center for Medication Safety’s </w:t>
      </w:r>
      <w:hyperlink r:id="rId9" w:history="1">
        <w:r w:rsidR="005D56F7" w:rsidRPr="00102B9E">
          <w:rPr>
            <w:rStyle w:val="Hyperlink"/>
            <w:i/>
          </w:rPr>
          <w:t>Guidance on “Off-label” Prescribing</w:t>
        </w:r>
      </w:hyperlink>
      <w:r w:rsidR="005D56F7" w:rsidRPr="00102B9E">
        <w:rPr>
          <w:i/>
        </w:rPr>
        <w:t xml:space="preserve"> (available on the VA PBM Intranet site only).</w:t>
      </w:r>
    </w:p>
    <w:p w:rsidR="00BB5B94" w:rsidRDefault="00BB5B94" w:rsidP="00E43D16">
      <w:pPr>
        <w:pStyle w:val="ListParagraph"/>
        <w:numPr>
          <w:ilvl w:val="0"/>
          <w:numId w:val="34"/>
        </w:numPr>
      </w:pPr>
      <w:r>
        <w:t>T</w:t>
      </w:r>
      <w:r w:rsidRPr="00BB5B94">
        <w:t>opical treatment of basal cell carcinoma (BCC),</w:t>
      </w:r>
      <w:r w:rsidR="0080382B">
        <w:rPr>
          <w:rStyle w:val="EndnoteReference"/>
        </w:rPr>
        <w:endnoteReference w:id="9"/>
      </w:r>
      <w:r w:rsidRPr="00BB5B94">
        <w:t xml:space="preserve"> squamous cell carcinoma (SCC) and</w:t>
      </w:r>
      <w:r w:rsidR="00963771">
        <w:t xml:space="preserve"> other</w:t>
      </w:r>
      <w:r w:rsidRPr="00BB5B94">
        <w:t xml:space="preserve"> </w:t>
      </w:r>
      <w:proofErr w:type="spellStart"/>
      <w:r w:rsidRPr="00BB5B94">
        <w:t>intraepidermal</w:t>
      </w:r>
      <w:proofErr w:type="spellEnd"/>
      <w:r w:rsidRPr="00BB5B94">
        <w:t xml:space="preserve"> carcinoma (IEC)</w:t>
      </w:r>
      <w:r w:rsidR="00963771">
        <w:t xml:space="preserve"> such as Bowen’s disease</w:t>
      </w:r>
      <w:r w:rsidR="00E43D16">
        <w:t>.</w:t>
      </w:r>
      <w:r w:rsidR="00963771">
        <w:t xml:space="preserve"> </w:t>
      </w:r>
      <w:r w:rsidR="008E6132">
        <w:t>F</w:t>
      </w:r>
      <w:r w:rsidR="00963771">
        <w:t xml:space="preserve">avorable results </w:t>
      </w:r>
      <w:r w:rsidR="0080382B">
        <w:t xml:space="preserve">were </w:t>
      </w:r>
      <w:r w:rsidR="00963771">
        <w:t xml:space="preserve">seen in an observational </w:t>
      </w:r>
      <w:r w:rsidRPr="00BB5B94">
        <w:t xml:space="preserve">phase I/II clinical study </w:t>
      </w:r>
      <w:r w:rsidR="00963771">
        <w:t xml:space="preserve">of </w:t>
      </w:r>
      <w:r w:rsidR="00963771" w:rsidRPr="00BB5B94">
        <w:t xml:space="preserve">E. </w:t>
      </w:r>
      <w:proofErr w:type="spellStart"/>
      <w:r w:rsidR="00963771" w:rsidRPr="00BB5B94">
        <w:t>peplus</w:t>
      </w:r>
      <w:proofErr w:type="spellEnd"/>
      <w:r w:rsidR="00963771" w:rsidRPr="00BB5B94">
        <w:t xml:space="preserve"> sap</w:t>
      </w:r>
      <w:r w:rsidR="00963771">
        <w:t xml:space="preserve"> in </w:t>
      </w:r>
      <w:r w:rsidR="001E2EFB">
        <w:t xml:space="preserve">36 </w:t>
      </w:r>
      <w:r w:rsidR="00963771">
        <w:t>patients with BCC, SCC or IEC, 43% of whom had failed previous treatments.</w:t>
      </w:r>
      <w:r w:rsidR="00E43D16">
        <w:rPr>
          <w:rStyle w:val="EndnoteReference"/>
        </w:rPr>
        <w:endnoteReference w:id="10"/>
      </w:r>
      <w:r w:rsidR="00963771" w:rsidRPr="00BB5B94">
        <w:t xml:space="preserve"> </w:t>
      </w:r>
      <w:proofErr w:type="spellStart"/>
      <w:r w:rsidR="008E6132">
        <w:t>Ingenol</w:t>
      </w:r>
      <w:proofErr w:type="spellEnd"/>
      <w:r w:rsidR="008E6132">
        <w:t xml:space="preserve"> </w:t>
      </w:r>
      <w:proofErr w:type="spellStart"/>
      <w:r w:rsidR="008E6132">
        <w:t>mebutate</w:t>
      </w:r>
      <w:proofErr w:type="spellEnd"/>
      <w:r w:rsidR="008E6132">
        <w:t xml:space="preserve"> is being developed for treatment of </w:t>
      </w:r>
      <w:proofErr w:type="spellStart"/>
      <w:r w:rsidR="008E6132">
        <w:t>nonmelanoma</w:t>
      </w:r>
      <w:proofErr w:type="spellEnd"/>
      <w:r w:rsidR="008E6132">
        <w:t xml:space="preserve"> skin cancer.</w:t>
      </w:r>
    </w:p>
    <w:p w:rsidR="00103458" w:rsidRDefault="00103458" w:rsidP="00E43D16">
      <w:pPr>
        <w:pStyle w:val="ListParagraph"/>
        <w:numPr>
          <w:ilvl w:val="0"/>
          <w:numId w:val="34"/>
        </w:numPr>
      </w:pPr>
      <w:r>
        <w:t xml:space="preserve">Wart </w:t>
      </w:r>
      <w:r w:rsidR="0025203D">
        <w:t xml:space="preserve">and corn </w:t>
      </w:r>
      <w:r>
        <w:t>removal (based on traditional use of E. peplum sap)</w:t>
      </w:r>
    </w:p>
    <w:p w:rsidR="005D56F7" w:rsidRDefault="00DB74B4" w:rsidP="00E43D16">
      <w:pPr>
        <w:pStyle w:val="ListParagraph"/>
        <w:numPr>
          <w:ilvl w:val="0"/>
          <w:numId w:val="34"/>
        </w:numPr>
      </w:pPr>
      <w:r>
        <w:t xml:space="preserve">Use on hypertrophic, </w:t>
      </w:r>
      <w:proofErr w:type="spellStart"/>
      <w:r>
        <w:t>hyperkeratotic</w:t>
      </w:r>
      <w:proofErr w:type="spellEnd"/>
      <w:r w:rsidR="001E2EFB">
        <w:t xml:space="preserve"> AK</w:t>
      </w:r>
      <w:r>
        <w:t xml:space="preserve"> lesions</w:t>
      </w:r>
    </w:p>
    <w:p w:rsidR="00DB74B4" w:rsidRDefault="00DB74B4" w:rsidP="00E43D16">
      <w:pPr>
        <w:pStyle w:val="ListParagraph"/>
        <w:numPr>
          <w:ilvl w:val="0"/>
          <w:numId w:val="34"/>
        </w:numPr>
      </w:pPr>
      <w:r>
        <w:t xml:space="preserve">Use on </w:t>
      </w:r>
      <w:r w:rsidR="001E2EFB">
        <w:t xml:space="preserve">AK </w:t>
      </w:r>
      <w:r w:rsidR="00504154">
        <w:t xml:space="preserve">skin </w:t>
      </w:r>
      <w:r>
        <w:t xml:space="preserve">areas larger than </w:t>
      </w:r>
      <w:r w:rsidR="00504154">
        <w:t>the recommended 25-</w:t>
      </w:r>
      <w:r w:rsidR="00504154" w:rsidRPr="00504154">
        <w:t>cm</w:t>
      </w:r>
      <w:r w:rsidR="00504154" w:rsidRPr="00504154">
        <w:rPr>
          <w:vertAlign w:val="superscript"/>
        </w:rPr>
        <w:t>2</w:t>
      </w:r>
      <w:r w:rsidR="00504154" w:rsidRPr="00504154">
        <w:rPr>
          <w:sz w:val="28"/>
        </w:rPr>
        <w:t xml:space="preserve"> </w:t>
      </w:r>
      <w:r w:rsidR="00504154">
        <w:t xml:space="preserve">(5 x 5-cm or </w:t>
      </w:r>
      <w:r>
        <w:t>2 x 2</w:t>
      </w:r>
      <w:r w:rsidR="00504154">
        <w:t>-</w:t>
      </w:r>
      <w:r>
        <w:t>in</w:t>
      </w:r>
      <w:r w:rsidR="00504154">
        <w:t>) treatment area</w:t>
      </w:r>
    </w:p>
    <w:p w:rsidR="00DB74B4" w:rsidRDefault="00DB74B4" w:rsidP="00E43D16">
      <w:pPr>
        <w:pStyle w:val="ListParagraph"/>
        <w:numPr>
          <w:ilvl w:val="0"/>
          <w:numId w:val="34"/>
        </w:numPr>
      </w:pPr>
      <w:r>
        <w:t xml:space="preserve">Use </w:t>
      </w:r>
      <w:r w:rsidR="001E2EFB">
        <w:t xml:space="preserve">for AK </w:t>
      </w:r>
      <w:r>
        <w:t>in immunosuppressed or organ transplant patients</w:t>
      </w:r>
    </w:p>
    <w:p w:rsidR="008E6132" w:rsidRDefault="008E6132" w:rsidP="00E43D16">
      <w:pPr>
        <w:pStyle w:val="ListParagraph"/>
        <w:numPr>
          <w:ilvl w:val="0"/>
          <w:numId w:val="34"/>
        </w:numPr>
      </w:pPr>
      <w:r>
        <w:t>Use in combination or sequence with other AK therapies such as cryotherapy</w:t>
      </w:r>
    </w:p>
    <w:p w:rsidR="00537E8D" w:rsidRDefault="00537E8D">
      <w:pPr>
        <w:pStyle w:val="Heading1"/>
      </w:pPr>
      <w:r>
        <w:t>Alternative</w:t>
      </w:r>
      <w:r w:rsidR="00AB54DF">
        <w:t xml:space="preserve"> Therapies</w:t>
      </w:r>
    </w:p>
    <w:p w:rsidR="00DB0340" w:rsidRDefault="00DB0340" w:rsidP="009E4E80">
      <w:r>
        <w:t xml:space="preserve">For isolated AK lesions, liquid nitrogen cryotherapy is often used. Unlike field therapies, only visible lesions are destroyed, whereas early subclinical lesions are not eliminated. Cryotherapy </w:t>
      </w:r>
      <w:r w:rsidR="00FD60F6">
        <w:t>may</w:t>
      </w:r>
      <w:r>
        <w:t xml:space="preserve"> be used in combination with field therapies. </w:t>
      </w:r>
    </w:p>
    <w:p w:rsidR="00D23D24" w:rsidRDefault="00DB0340" w:rsidP="009E4E80">
      <w:r>
        <w:t>For multiple lesions, provider-administered photodynamic therapy and patient-administered topical therapies are preferable.</w:t>
      </w:r>
      <w:r w:rsidR="00FD60F6">
        <w:t xml:space="preserve"> </w:t>
      </w:r>
      <w:r w:rsidR="00082097">
        <w:t>Patient-administered, f</w:t>
      </w:r>
      <w:r w:rsidR="00D23D24">
        <w:t>ield-</w:t>
      </w:r>
      <w:r w:rsidR="00AB54DF">
        <w:t>directed</w:t>
      </w:r>
      <w:r w:rsidR="00D23D24">
        <w:t xml:space="preserve"> topical </w:t>
      </w:r>
      <w:r w:rsidR="001E2EFB">
        <w:t>pharmacotherapeutic</w:t>
      </w:r>
      <w:r w:rsidR="00082097">
        <w:t xml:space="preserve"> </w:t>
      </w:r>
      <w:r w:rsidR="00D23D24">
        <w:t xml:space="preserve">alternatives to </w:t>
      </w:r>
      <w:proofErr w:type="spellStart"/>
      <w:r w:rsidR="00D23D24">
        <w:t>ingenol</w:t>
      </w:r>
      <w:proofErr w:type="spellEnd"/>
      <w:r w:rsidR="00D23D24">
        <w:t xml:space="preserve"> </w:t>
      </w:r>
      <w:proofErr w:type="spellStart"/>
      <w:r w:rsidR="00D23D24">
        <w:t>mebutate</w:t>
      </w:r>
      <w:proofErr w:type="spellEnd"/>
      <w:r w:rsidR="00D23D24">
        <w:t xml:space="preserve"> </w:t>
      </w:r>
      <w:r w:rsidR="003A623E">
        <w:t xml:space="preserve">gel </w:t>
      </w:r>
      <w:r w:rsidR="00D23D24">
        <w:t>on the VA National Formulary are</w:t>
      </w:r>
    </w:p>
    <w:p w:rsidR="00102B9E" w:rsidRDefault="00102B9E" w:rsidP="00D23D24">
      <w:pPr>
        <w:pStyle w:val="ListParagraph"/>
        <w:numPr>
          <w:ilvl w:val="0"/>
          <w:numId w:val="24"/>
        </w:numPr>
      </w:pPr>
      <w:r>
        <w:t>5-fluorouracil (5-FU) topical cream and topical solution</w:t>
      </w:r>
      <w:r w:rsidR="00211846">
        <w:t xml:space="preserve"> and</w:t>
      </w:r>
    </w:p>
    <w:p w:rsidR="009E4E80" w:rsidRDefault="00102B9E" w:rsidP="00D23D24">
      <w:pPr>
        <w:pStyle w:val="ListParagraph"/>
        <w:numPr>
          <w:ilvl w:val="0"/>
          <w:numId w:val="24"/>
        </w:numPr>
      </w:pPr>
      <w:proofErr w:type="spellStart"/>
      <w:r>
        <w:t>Imiquimod</w:t>
      </w:r>
      <w:proofErr w:type="spellEnd"/>
      <w:r>
        <w:t xml:space="preserve"> cream</w:t>
      </w:r>
    </w:p>
    <w:p w:rsidR="009E4E80" w:rsidRDefault="00AB54DF" w:rsidP="009E4E80">
      <w:r>
        <w:t xml:space="preserve">The advantages and disadvantages of the patient-administered, field-directed topical drug therapies for AK are summarized in </w:t>
      </w:r>
      <w:r>
        <w:fldChar w:fldCharType="begin"/>
      </w:r>
      <w:r>
        <w:instrText xml:space="preserve"> REF _Ref374445903 \h </w:instrText>
      </w:r>
      <w:r>
        <w:fldChar w:fldCharType="separate"/>
      </w:r>
      <w:r w:rsidR="00D93D73">
        <w:t xml:space="preserve">Table </w:t>
      </w:r>
      <w:r w:rsidR="00D93D73">
        <w:rPr>
          <w:noProof/>
        </w:rPr>
        <w:t>1</w:t>
      </w:r>
      <w:r>
        <w:fldChar w:fldCharType="end"/>
      </w:r>
      <w:r>
        <w:t>.</w:t>
      </w:r>
    </w:p>
    <w:p w:rsidR="00F7482A" w:rsidRDefault="00F7482A" w:rsidP="00F7482A">
      <w:pPr>
        <w:pStyle w:val="Caption"/>
        <w:tabs>
          <w:tab w:val="left" w:pos="900"/>
        </w:tabs>
      </w:pPr>
      <w:bookmarkStart w:id="2" w:name="_Ref374445903"/>
      <w:r>
        <w:t xml:space="preserve">Table </w:t>
      </w:r>
      <w:r w:rsidR="00017C36">
        <w:fldChar w:fldCharType="begin"/>
      </w:r>
      <w:r w:rsidR="00017C36">
        <w:instrText xml:space="preserve"> SEQ Table \* ARABIC </w:instrText>
      </w:r>
      <w:r w:rsidR="00017C36">
        <w:fldChar w:fldCharType="separate"/>
      </w:r>
      <w:r w:rsidR="00D93D73">
        <w:rPr>
          <w:noProof/>
        </w:rPr>
        <w:t>1</w:t>
      </w:r>
      <w:r w:rsidR="00017C36">
        <w:rPr>
          <w:noProof/>
        </w:rPr>
        <w:fldChar w:fldCharType="end"/>
      </w:r>
      <w:bookmarkEnd w:id="2"/>
      <w:r>
        <w:tab/>
        <w:t>Summary of Patient-administered, Field-directed Topical Drug Therapies for AK</w:t>
      </w:r>
    </w:p>
    <w:tbl>
      <w:tblPr>
        <w:tblStyle w:val="TableColumns4"/>
        <w:tblW w:w="0" w:type="auto"/>
        <w:tblLook w:val="04A0" w:firstRow="1" w:lastRow="0" w:firstColumn="1" w:lastColumn="0" w:noHBand="0" w:noVBand="1"/>
      </w:tblPr>
      <w:tblGrid>
        <w:gridCol w:w="2224"/>
        <w:gridCol w:w="1944"/>
        <w:gridCol w:w="1744"/>
        <w:gridCol w:w="2180"/>
        <w:gridCol w:w="2204"/>
      </w:tblGrid>
      <w:tr w:rsidR="00DE2935" w:rsidRPr="00C46F3A" w:rsidTr="005C7DAA">
        <w:trPr>
          <w:cnfStyle w:val="100000000000" w:firstRow="1" w:lastRow="0" w:firstColumn="0" w:lastColumn="0" w:oddVBand="0" w:evenVBand="0" w:oddHBand="0" w:evenHBand="0" w:firstRowFirstColumn="0" w:firstRowLastColumn="0" w:lastRowFirstColumn="0" w:lastRowLastColumn="0"/>
          <w:tblHeader/>
        </w:trPr>
        <w:tc>
          <w:tcPr>
            <w:tcW w:w="0" w:type="auto"/>
            <w:tcBorders>
              <w:bottom w:val="nil"/>
            </w:tcBorders>
            <w:vAlign w:val="bottom"/>
          </w:tcPr>
          <w:p w:rsidR="005C7DAA" w:rsidRPr="00C46F3A" w:rsidRDefault="005C7DAA" w:rsidP="00246C53">
            <w:pPr>
              <w:pStyle w:val="Table"/>
              <w:keepNext/>
              <w:rPr>
                <w:color w:val="FFFFFF" w:themeColor="background1"/>
              </w:rPr>
            </w:pPr>
            <w:r>
              <w:rPr>
                <w:color w:val="FFFFFF" w:themeColor="background1"/>
              </w:rPr>
              <w:t>Treatment and Dosage</w:t>
            </w:r>
          </w:p>
        </w:tc>
        <w:tc>
          <w:tcPr>
            <w:tcW w:w="0" w:type="auto"/>
            <w:tcBorders>
              <w:bottom w:val="nil"/>
            </w:tcBorders>
          </w:tcPr>
          <w:p w:rsidR="005C7DAA" w:rsidRDefault="005C7DAA" w:rsidP="00246C53">
            <w:pPr>
              <w:pStyle w:val="Table"/>
              <w:keepNext/>
              <w:rPr>
                <w:color w:val="FFFFFF" w:themeColor="background1"/>
              </w:rPr>
            </w:pPr>
            <w:r>
              <w:rPr>
                <w:color w:val="FFFFFF" w:themeColor="background1"/>
              </w:rPr>
              <w:t>Mechanism</w:t>
            </w:r>
          </w:p>
        </w:tc>
        <w:tc>
          <w:tcPr>
            <w:tcW w:w="0" w:type="auto"/>
            <w:tcBorders>
              <w:bottom w:val="nil"/>
            </w:tcBorders>
            <w:vAlign w:val="bottom"/>
          </w:tcPr>
          <w:p w:rsidR="005C7DAA" w:rsidRDefault="005C7DAA" w:rsidP="00246C53">
            <w:pPr>
              <w:pStyle w:val="Table"/>
              <w:keepNext/>
              <w:rPr>
                <w:color w:val="FFFFFF" w:themeColor="background1"/>
              </w:rPr>
            </w:pPr>
            <w:r>
              <w:rPr>
                <w:color w:val="FFFFFF" w:themeColor="background1"/>
              </w:rPr>
              <w:t>Advantages</w:t>
            </w:r>
          </w:p>
        </w:tc>
        <w:tc>
          <w:tcPr>
            <w:tcW w:w="0" w:type="auto"/>
            <w:tcBorders>
              <w:bottom w:val="nil"/>
            </w:tcBorders>
            <w:vAlign w:val="bottom"/>
          </w:tcPr>
          <w:p w:rsidR="005C7DAA" w:rsidRDefault="005C7DAA" w:rsidP="00246C53">
            <w:pPr>
              <w:pStyle w:val="Table"/>
              <w:keepNext/>
              <w:rPr>
                <w:color w:val="FFFFFF" w:themeColor="background1"/>
              </w:rPr>
            </w:pPr>
            <w:r>
              <w:rPr>
                <w:color w:val="FFFFFF" w:themeColor="background1"/>
              </w:rPr>
              <w:t xml:space="preserve">Disadvantages </w:t>
            </w:r>
          </w:p>
        </w:tc>
        <w:tc>
          <w:tcPr>
            <w:tcW w:w="0" w:type="auto"/>
            <w:tcBorders>
              <w:bottom w:val="nil"/>
            </w:tcBorders>
            <w:vAlign w:val="bottom"/>
          </w:tcPr>
          <w:p w:rsidR="005C7DAA" w:rsidRDefault="005C7DAA" w:rsidP="00246C53">
            <w:pPr>
              <w:pStyle w:val="Table"/>
              <w:keepNext/>
              <w:rPr>
                <w:color w:val="FFFFFF" w:themeColor="background1"/>
              </w:rPr>
            </w:pPr>
            <w:r>
              <w:rPr>
                <w:color w:val="FFFFFF" w:themeColor="background1"/>
              </w:rPr>
              <w:t>Other Considerations</w:t>
            </w:r>
          </w:p>
        </w:tc>
      </w:tr>
      <w:tr w:rsidR="00DE2935" w:rsidTr="005C7DAA">
        <w:tc>
          <w:tcPr>
            <w:tcW w:w="0" w:type="auto"/>
            <w:tcBorders>
              <w:bottom w:val="single" w:sz="4" w:space="0" w:color="A6A6A6" w:themeColor="background1" w:themeShade="A6"/>
            </w:tcBorders>
          </w:tcPr>
          <w:p w:rsidR="005C7DAA" w:rsidRDefault="005C7DAA" w:rsidP="00246C53">
            <w:pPr>
              <w:pStyle w:val="Table"/>
            </w:pPr>
            <w:proofErr w:type="spellStart"/>
            <w:r w:rsidRPr="00AB54DF">
              <w:rPr>
                <w:b/>
              </w:rPr>
              <w:t>Adapalene</w:t>
            </w:r>
            <w:proofErr w:type="spellEnd"/>
            <w:r w:rsidRPr="00AB54DF">
              <w:rPr>
                <w:b/>
              </w:rPr>
              <w:t xml:space="preserve"> </w:t>
            </w:r>
          </w:p>
          <w:p w:rsidR="005C7DAA" w:rsidRDefault="005C7DAA" w:rsidP="00246C53">
            <w:pPr>
              <w:pStyle w:val="Table"/>
            </w:pPr>
            <w:r>
              <w:t xml:space="preserve">0.1% or 0.3% </w:t>
            </w:r>
            <w:r w:rsidRPr="001E7ACE">
              <w:t xml:space="preserve">gel </w:t>
            </w:r>
            <w:r>
              <w:t xml:space="preserve">(DIFFERIN by </w:t>
            </w:r>
            <w:proofErr w:type="spellStart"/>
            <w:r>
              <w:t>Galderma</w:t>
            </w:r>
            <w:proofErr w:type="spellEnd"/>
            <w:r>
              <w:t xml:space="preserve"> Labs and generic by Taro) daily for 4 </w:t>
            </w:r>
            <w:proofErr w:type="spellStart"/>
            <w:r>
              <w:t>wks</w:t>
            </w:r>
            <w:proofErr w:type="spellEnd"/>
            <w:r>
              <w:t xml:space="preserve"> then twice daily</w:t>
            </w:r>
          </w:p>
        </w:tc>
        <w:tc>
          <w:tcPr>
            <w:tcW w:w="0" w:type="auto"/>
            <w:tcBorders>
              <w:bottom w:val="single" w:sz="4" w:space="0" w:color="A6A6A6" w:themeColor="background1" w:themeShade="A6"/>
            </w:tcBorders>
          </w:tcPr>
          <w:p w:rsidR="005C7DAA" w:rsidRDefault="00DE2935" w:rsidP="00DE2935">
            <w:pPr>
              <w:pStyle w:val="Table"/>
            </w:pPr>
            <w:r>
              <w:t xml:space="preserve">Activates </w:t>
            </w:r>
            <w:proofErr w:type="spellStart"/>
            <w:r w:rsidR="0080382B" w:rsidRPr="0080382B">
              <w:rPr>
                <w:rFonts w:hint="eastAsia"/>
              </w:rPr>
              <w:t>intranuclear</w:t>
            </w:r>
            <w:proofErr w:type="spellEnd"/>
            <w:r w:rsidR="0080382B" w:rsidRPr="0080382B">
              <w:rPr>
                <w:rFonts w:hint="eastAsia"/>
              </w:rPr>
              <w:t xml:space="preserve"> retinoic acid receptors (RAR</w:t>
            </w:r>
            <w:r>
              <w:t>)</w:t>
            </w:r>
            <w:r w:rsidR="0080382B" w:rsidRPr="0080382B">
              <w:rPr>
                <w:rFonts w:hint="eastAsia"/>
              </w:rPr>
              <w:t xml:space="preserve"> with selectivity for RARβ and </w:t>
            </w:r>
            <w:proofErr w:type="spellStart"/>
            <w:r w:rsidR="0080382B" w:rsidRPr="0080382B">
              <w:rPr>
                <w:rFonts w:hint="eastAsia"/>
              </w:rPr>
              <w:t>RARγ</w:t>
            </w:r>
            <w:proofErr w:type="spellEnd"/>
            <w:r>
              <w:t>, independent of p53</w:t>
            </w:r>
          </w:p>
        </w:tc>
        <w:tc>
          <w:tcPr>
            <w:tcW w:w="0" w:type="auto"/>
            <w:tcBorders>
              <w:bottom w:val="single" w:sz="4" w:space="0" w:color="A6A6A6" w:themeColor="background1" w:themeShade="A6"/>
            </w:tcBorders>
          </w:tcPr>
          <w:p w:rsidR="005C7DAA" w:rsidRDefault="005C7DAA" w:rsidP="00246C53">
            <w:pPr>
              <w:pStyle w:val="Table"/>
            </w:pPr>
            <w:r>
              <w:t xml:space="preserve">May improve appearance of </w:t>
            </w:r>
            <w:proofErr w:type="spellStart"/>
            <w:r>
              <w:t>photodamaged</w:t>
            </w:r>
            <w:proofErr w:type="spellEnd"/>
            <w:r>
              <w:t xml:space="preserve"> skin</w:t>
            </w:r>
          </w:p>
        </w:tc>
        <w:tc>
          <w:tcPr>
            <w:tcW w:w="0" w:type="auto"/>
            <w:tcBorders>
              <w:bottom w:val="single" w:sz="4" w:space="0" w:color="A6A6A6" w:themeColor="background1" w:themeShade="A6"/>
            </w:tcBorders>
          </w:tcPr>
          <w:p w:rsidR="005C7DAA" w:rsidRDefault="005C7DAA" w:rsidP="00246C53">
            <w:pPr>
              <w:pStyle w:val="Table"/>
            </w:pPr>
            <w:r>
              <w:t xml:space="preserve">Insufficient, inconsistent data on efficacy/safety of </w:t>
            </w:r>
            <w:proofErr w:type="spellStart"/>
            <w:r>
              <w:t>retinoids</w:t>
            </w:r>
            <w:proofErr w:type="spellEnd"/>
            <w:r>
              <w:t xml:space="preserve"> in AK.</w:t>
            </w:r>
          </w:p>
        </w:tc>
        <w:tc>
          <w:tcPr>
            <w:tcW w:w="0" w:type="auto"/>
            <w:tcBorders>
              <w:bottom w:val="single" w:sz="4" w:space="0" w:color="A6A6A6" w:themeColor="background1" w:themeShade="A6"/>
            </w:tcBorders>
          </w:tcPr>
          <w:p w:rsidR="005C7DAA" w:rsidRDefault="005C7DAA" w:rsidP="00246C53">
            <w:pPr>
              <w:pStyle w:val="Table"/>
            </w:pPr>
            <w:r>
              <w:t>Off-label use.</w:t>
            </w:r>
          </w:p>
          <w:p w:rsidR="005C7DAA" w:rsidRDefault="005C7DAA" w:rsidP="00211846">
            <w:pPr>
              <w:pStyle w:val="Table"/>
            </w:pPr>
            <w:r>
              <w:t xml:space="preserve">Only 1 RCT to support efficacy of gel. Cream formulation (0.1%) was not studied. </w:t>
            </w:r>
          </w:p>
          <w:p w:rsidR="005C7DAA" w:rsidRDefault="005C7DAA" w:rsidP="00211846">
            <w:pPr>
              <w:pStyle w:val="Table"/>
            </w:pPr>
            <w:r>
              <w:t xml:space="preserve">Results were not supported by a larger trial which showed that topical </w:t>
            </w:r>
            <w:proofErr w:type="spellStart"/>
            <w:r>
              <w:t>tretinoin</w:t>
            </w:r>
            <w:proofErr w:type="spellEnd"/>
            <w:r>
              <w:t xml:space="preserve"> 0.1% cream was ineffective.</w:t>
            </w:r>
          </w:p>
        </w:tc>
      </w:tr>
      <w:tr w:rsidR="00DE2935" w:rsidTr="005C7DAA">
        <w:tc>
          <w:tcPr>
            <w:tcW w:w="0" w:type="auto"/>
            <w:tcBorders>
              <w:top w:val="single" w:sz="4" w:space="0" w:color="A6A6A6" w:themeColor="background1" w:themeShade="A6"/>
              <w:bottom w:val="single" w:sz="4" w:space="0" w:color="A6A6A6" w:themeColor="background1" w:themeShade="A6"/>
            </w:tcBorders>
          </w:tcPr>
          <w:p w:rsidR="005C7DAA" w:rsidRDefault="005C7DAA" w:rsidP="00246C53">
            <w:pPr>
              <w:pStyle w:val="Table"/>
            </w:pPr>
            <w:r w:rsidRPr="00AB54DF">
              <w:rPr>
                <w:b/>
              </w:rPr>
              <w:t xml:space="preserve">Diclofenac </w:t>
            </w:r>
            <w:r>
              <w:rPr>
                <w:b/>
              </w:rPr>
              <w:t xml:space="preserve">Sodium </w:t>
            </w:r>
          </w:p>
          <w:p w:rsidR="005C7DAA" w:rsidRDefault="005C7DAA" w:rsidP="00C24ACF">
            <w:pPr>
              <w:pStyle w:val="Table"/>
            </w:pPr>
            <w:r>
              <w:t xml:space="preserve">3% </w:t>
            </w:r>
            <w:r w:rsidRPr="001E7ACE">
              <w:t xml:space="preserve">gel </w:t>
            </w:r>
            <w:r w:rsidRPr="00C24ACF">
              <w:t xml:space="preserve">(SOLARAZE by </w:t>
            </w:r>
            <w:proofErr w:type="spellStart"/>
            <w:r w:rsidRPr="00C24ACF">
              <w:t>PharmaDerm</w:t>
            </w:r>
            <w:proofErr w:type="spellEnd"/>
            <w:r w:rsidRPr="00C24ACF">
              <w:t>)</w:t>
            </w:r>
            <w:r>
              <w:t xml:space="preserve"> twice daily for 60–90 d</w:t>
            </w:r>
          </w:p>
        </w:tc>
        <w:tc>
          <w:tcPr>
            <w:tcW w:w="0" w:type="auto"/>
            <w:tcBorders>
              <w:top w:val="single" w:sz="4" w:space="0" w:color="A6A6A6" w:themeColor="background1" w:themeShade="A6"/>
              <w:bottom w:val="single" w:sz="4" w:space="0" w:color="A6A6A6" w:themeColor="background1" w:themeShade="A6"/>
            </w:tcBorders>
          </w:tcPr>
          <w:p w:rsidR="005C7DAA" w:rsidRDefault="0080382B" w:rsidP="00246C53">
            <w:pPr>
              <w:pStyle w:val="Table"/>
            </w:pPr>
            <w:r>
              <w:t>Cyclooxygenase inhibitor</w:t>
            </w:r>
          </w:p>
        </w:tc>
        <w:tc>
          <w:tcPr>
            <w:tcW w:w="0" w:type="auto"/>
            <w:tcBorders>
              <w:top w:val="single" w:sz="4" w:space="0" w:color="A6A6A6" w:themeColor="background1" w:themeShade="A6"/>
              <w:bottom w:val="single" w:sz="4" w:space="0" w:color="A6A6A6" w:themeColor="background1" w:themeShade="A6"/>
            </w:tcBorders>
          </w:tcPr>
          <w:p w:rsidR="005C7DAA" w:rsidRDefault="005C7DAA" w:rsidP="00246C53">
            <w:pPr>
              <w:pStyle w:val="Table"/>
            </w:pPr>
            <w:r>
              <w:t>Well tolerated; limited inflammation, irritation and erythema</w:t>
            </w:r>
          </w:p>
          <w:p w:rsidR="005C7DAA" w:rsidRDefault="005C7DAA" w:rsidP="00246C53">
            <w:pPr>
              <w:pStyle w:val="Table"/>
            </w:pPr>
            <w:r>
              <w:t>Seems to be better tolerated than 5FU</w:t>
            </w:r>
          </w:p>
          <w:p w:rsidR="005C7DAA" w:rsidRDefault="005C7DAA" w:rsidP="00246C53">
            <w:pPr>
              <w:pStyle w:val="Table"/>
            </w:pPr>
          </w:p>
        </w:tc>
        <w:tc>
          <w:tcPr>
            <w:tcW w:w="0" w:type="auto"/>
            <w:tcBorders>
              <w:top w:val="single" w:sz="4" w:space="0" w:color="A6A6A6" w:themeColor="background1" w:themeShade="A6"/>
              <w:bottom w:val="single" w:sz="4" w:space="0" w:color="A6A6A6" w:themeColor="background1" w:themeShade="A6"/>
            </w:tcBorders>
          </w:tcPr>
          <w:p w:rsidR="005C7DAA" w:rsidRDefault="005C7DAA" w:rsidP="00246C53">
            <w:pPr>
              <w:pStyle w:val="Table"/>
            </w:pPr>
            <w:r>
              <w:t xml:space="preserve">Long treatment duration, delayed time to complete / optimal healing (up to 30 d after end of </w:t>
            </w:r>
            <w:proofErr w:type="spellStart"/>
            <w:r>
              <w:t>tx</w:t>
            </w:r>
            <w:proofErr w:type="spellEnd"/>
            <w:r>
              <w:t>)</w:t>
            </w:r>
          </w:p>
          <w:p w:rsidR="005C7DAA" w:rsidRDefault="005C7DAA" w:rsidP="00246C53">
            <w:pPr>
              <w:pStyle w:val="Table"/>
            </w:pPr>
            <w:r>
              <w:t>May be less effective than 5FU</w:t>
            </w:r>
          </w:p>
          <w:p w:rsidR="005C7DAA" w:rsidRDefault="005C7DAA" w:rsidP="00246C53">
            <w:pPr>
              <w:pStyle w:val="Table"/>
            </w:pPr>
            <w:r>
              <w:t>Recommended for face; shown to be ineffective on non-facial areas (e.g., scalp, arms, forearms, hands)</w:t>
            </w:r>
          </w:p>
          <w:p w:rsidR="005C7DAA" w:rsidRDefault="005C7DAA" w:rsidP="009C38A9">
            <w:pPr>
              <w:pStyle w:val="Table"/>
            </w:pPr>
            <w:r>
              <w:t>Dry skin, pruritus, erythema, rash at application site; potential allergic reaction</w:t>
            </w:r>
          </w:p>
        </w:tc>
        <w:tc>
          <w:tcPr>
            <w:tcW w:w="0" w:type="auto"/>
            <w:tcBorders>
              <w:top w:val="single" w:sz="4" w:space="0" w:color="A6A6A6" w:themeColor="background1" w:themeShade="A6"/>
              <w:bottom w:val="single" w:sz="4" w:space="0" w:color="A6A6A6" w:themeColor="background1" w:themeShade="A6"/>
            </w:tcBorders>
          </w:tcPr>
          <w:p w:rsidR="005C7DAA" w:rsidRDefault="005C7DAA" w:rsidP="00D138E5">
            <w:pPr>
              <w:pStyle w:val="Table"/>
            </w:pPr>
            <w:r>
              <w:t>No recurrence data</w:t>
            </w:r>
          </w:p>
          <w:p w:rsidR="005C7DAA" w:rsidRDefault="005C7DAA" w:rsidP="00D138E5">
            <w:pPr>
              <w:pStyle w:val="Table"/>
            </w:pPr>
            <w:r>
              <w:t>Shorter courses are less effective.</w:t>
            </w:r>
          </w:p>
          <w:p w:rsidR="005C7DAA" w:rsidRDefault="005C7DAA" w:rsidP="00926775">
            <w:pPr>
              <w:pStyle w:val="Table"/>
            </w:pPr>
            <w:r>
              <w:t>Transdermal systemic absorption is low (</w:t>
            </w:r>
            <w:proofErr w:type="spellStart"/>
            <w:r>
              <w:t>Cp</w:t>
            </w:r>
            <w:proofErr w:type="spellEnd"/>
            <w:r>
              <w:t xml:space="preserve"> ≤ 20 ng/ml). However, there are warnings for use in </w:t>
            </w:r>
            <w:proofErr w:type="spellStart"/>
            <w:r>
              <w:t>pts</w:t>
            </w:r>
            <w:proofErr w:type="spellEnd"/>
            <w:r>
              <w:t xml:space="preserve"> with</w:t>
            </w:r>
            <w:r w:rsidRPr="00C24ACF">
              <w:t xml:space="preserve"> active gastrointestinal ulceration or bleeding and severe renal or hepatic impairments</w:t>
            </w:r>
            <w:r>
              <w:t>.</w:t>
            </w:r>
          </w:p>
        </w:tc>
      </w:tr>
      <w:tr w:rsidR="00DE2935" w:rsidTr="005C7DAA">
        <w:tc>
          <w:tcPr>
            <w:tcW w:w="0" w:type="auto"/>
            <w:tcBorders>
              <w:top w:val="single" w:sz="4" w:space="0" w:color="A6A6A6" w:themeColor="background1" w:themeShade="A6"/>
              <w:bottom w:val="single" w:sz="4" w:space="0" w:color="A6A6A6" w:themeColor="background1" w:themeShade="A6"/>
            </w:tcBorders>
          </w:tcPr>
          <w:p w:rsidR="005C7DAA" w:rsidRPr="00AB54DF" w:rsidRDefault="005C7DAA" w:rsidP="00246C53">
            <w:pPr>
              <w:pStyle w:val="Table"/>
              <w:rPr>
                <w:b/>
              </w:rPr>
            </w:pPr>
            <w:r w:rsidRPr="00AB54DF">
              <w:rPr>
                <w:b/>
              </w:rPr>
              <w:t>5</w:t>
            </w:r>
            <w:r>
              <w:rPr>
                <w:b/>
              </w:rPr>
              <w:t>-</w:t>
            </w:r>
            <w:r w:rsidRPr="00AB54DF">
              <w:rPr>
                <w:b/>
              </w:rPr>
              <w:t>F</w:t>
            </w:r>
            <w:r>
              <w:rPr>
                <w:b/>
              </w:rPr>
              <w:t>luorouracil (5FU)</w:t>
            </w:r>
            <w:r w:rsidRPr="00AB54DF">
              <w:rPr>
                <w:b/>
              </w:rPr>
              <w:t xml:space="preserve"> </w:t>
            </w:r>
          </w:p>
          <w:p w:rsidR="005C7DAA" w:rsidRDefault="005C7DAA" w:rsidP="00246C53">
            <w:pPr>
              <w:pStyle w:val="Table"/>
              <w:numPr>
                <w:ilvl w:val="0"/>
                <w:numId w:val="27"/>
              </w:numPr>
              <w:ind w:left="360" w:hanging="180"/>
            </w:pPr>
            <w:r>
              <w:t xml:space="preserve">0.5% cream (CARAC by Valeant) once daily for 4 </w:t>
            </w:r>
            <w:proofErr w:type="spellStart"/>
            <w:r>
              <w:t>wk</w:t>
            </w:r>
            <w:proofErr w:type="spellEnd"/>
          </w:p>
          <w:p w:rsidR="005C7DAA" w:rsidRDefault="005C7DAA" w:rsidP="00246C53">
            <w:pPr>
              <w:pStyle w:val="Table"/>
              <w:numPr>
                <w:ilvl w:val="0"/>
                <w:numId w:val="27"/>
              </w:numPr>
              <w:ind w:left="360" w:hanging="180"/>
            </w:pPr>
            <w:r>
              <w:t xml:space="preserve">1% cream (generic by Aqua) on entire face or other affected areas twice daily for 2–6 </w:t>
            </w:r>
            <w:proofErr w:type="spellStart"/>
            <w:r>
              <w:t>wk</w:t>
            </w:r>
            <w:proofErr w:type="spellEnd"/>
            <w:r>
              <w:t xml:space="preserve"> </w:t>
            </w:r>
          </w:p>
          <w:p w:rsidR="005C7DAA" w:rsidRDefault="005C7DAA" w:rsidP="00C122C0">
            <w:pPr>
              <w:pStyle w:val="Table"/>
              <w:numPr>
                <w:ilvl w:val="0"/>
                <w:numId w:val="27"/>
              </w:numPr>
              <w:ind w:left="360" w:hanging="180"/>
            </w:pPr>
            <w:r>
              <w:t>5% cream (</w:t>
            </w:r>
            <w:r w:rsidRPr="00A0451B">
              <w:t xml:space="preserve">EFUDEX by Valeant; generics by </w:t>
            </w:r>
            <w:proofErr w:type="spellStart"/>
            <w:r w:rsidRPr="00A0451B">
              <w:t>Mylan</w:t>
            </w:r>
            <w:proofErr w:type="spellEnd"/>
            <w:r w:rsidRPr="00A0451B">
              <w:t xml:space="preserve"> and Taro</w:t>
            </w:r>
            <w:r>
              <w:t xml:space="preserve">) or 2% or 5% solution (generics by </w:t>
            </w:r>
            <w:proofErr w:type="spellStart"/>
            <w:r>
              <w:t>Solco</w:t>
            </w:r>
            <w:proofErr w:type="spellEnd"/>
            <w:r>
              <w:t xml:space="preserve"> and Taro) on </w:t>
            </w:r>
            <w:proofErr w:type="spellStart"/>
            <w:r>
              <w:t>nonfacial</w:t>
            </w:r>
            <w:proofErr w:type="spellEnd"/>
            <w:r>
              <w:t xml:space="preserve"> areas twice daily until superficial erosion occurs, usually 2–4 </w:t>
            </w:r>
            <w:proofErr w:type="spellStart"/>
            <w:r>
              <w:t>wk</w:t>
            </w:r>
            <w:proofErr w:type="spellEnd"/>
          </w:p>
        </w:tc>
        <w:tc>
          <w:tcPr>
            <w:tcW w:w="0" w:type="auto"/>
            <w:tcBorders>
              <w:top w:val="single" w:sz="4" w:space="0" w:color="A6A6A6" w:themeColor="background1" w:themeShade="A6"/>
              <w:bottom w:val="single" w:sz="4" w:space="0" w:color="A6A6A6" w:themeColor="background1" w:themeShade="A6"/>
            </w:tcBorders>
          </w:tcPr>
          <w:p w:rsidR="005C7DAA" w:rsidRDefault="005C7DAA" w:rsidP="00246C53">
            <w:pPr>
              <w:pStyle w:val="Table"/>
            </w:pPr>
            <w:r>
              <w:t>Thymidine depletion, decreased DNA synthesis, cell death</w:t>
            </w:r>
          </w:p>
        </w:tc>
        <w:tc>
          <w:tcPr>
            <w:tcW w:w="0" w:type="auto"/>
            <w:tcBorders>
              <w:top w:val="single" w:sz="4" w:space="0" w:color="A6A6A6" w:themeColor="background1" w:themeShade="A6"/>
              <w:bottom w:val="single" w:sz="4" w:space="0" w:color="A6A6A6" w:themeColor="background1" w:themeShade="A6"/>
            </w:tcBorders>
          </w:tcPr>
          <w:p w:rsidR="005C7DAA" w:rsidRDefault="005C7DAA" w:rsidP="00246C53">
            <w:pPr>
              <w:pStyle w:val="Table"/>
            </w:pPr>
            <w:r>
              <w:t xml:space="preserve">&gt;50 y of experience; 90% effective in </w:t>
            </w:r>
            <w:proofErr w:type="spellStart"/>
            <w:r>
              <w:t>pts</w:t>
            </w:r>
            <w:proofErr w:type="spellEnd"/>
            <w:r>
              <w:t xml:space="preserve"> who can tolerate it; 50% responder rate for complete clearance of AK</w:t>
            </w:r>
          </w:p>
          <w:p w:rsidR="005C7DAA" w:rsidRDefault="005C7DAA" w:rsidP="00AB54DF">
            <w:pPr>
              <w:pStyle w:val="Table"/>
            </w:pPr>
            <w:r>
              <w:t>0.5%:  Better tolerated than higher strengths.</w:t>
            </w:r>
          </w:p>
          <w:p w:rsidR="005C7DAA" w:rsidRDefault="005C7DAA" w:rsidP="00AB54DF">
            <w:pPr>
              <w:pStyle w:val="Table"/>
            </w:pPr>
            <w:r>
              <w:t xml:space="preserve">Suggested topical </w:t>
            </w:r>
            <w:proofErr w:type="spellStart"/>
            <w:r>
              <w:t>tx</w:t>
            </w:r>
            <w:proofErr w:type="spellEnd"/>
            <w:r>
              <w:t xml:space="preserve"> alternative for AK in solid organ transplant recipients</w:t>
            </w:r>
          </w:p>
        </w:tc>
        <w:tc>
          <w:tcPr>
            <w:tcW w:w="0" w:type="auto"/>
            <w:tcBorders>
              <w:top w:val="single" w:sz="4" w:space="0" w:color="A6A6A6" w:themeColor="background1" w:themeShade="A6"/>
              <w:bottom w:val="single" w:sz="4" w:space="0" w:color="A6A6A6" w:themeColor="background1" w:themeShade="A6"/>
            </w:tcBorders>
          </w:tcPr>
          <w:p w:rsidR="005C7DAA" w:rsidRDefault="005C7DAA" w:rsidP="00246C53">
            <w:pPr>
              <w:pStyle w:val="Table"/>
            </w:pPr>
            <w:r>
              <w:t xml:space="preserve">Inflammation lasts about 2 </w:t>
            </w:r>
            <w:proofErr w:type="spellStart"/>
            <w:r>
              <w:t>wk</w:t>
            </w:r>
            <w:proofErr w:type="spellEnd"/>
          </w:p>
          <w:p w:rsidR="005C7DAA" w:rsidRDefault="005C7DAA" w:rsidP="00520B18">
            <w:pPr>
              <w:pStyle w:val="Table"/>
            </w:pPr>
            <w:r>
              <w:t xml:space="preserve">Temporarily disfiguring with long healing time; erythema, blistering, necrosis, erosion then </w:t>
            </w:r>
            <w:proofErr w:type="spellStart"/>
            <w:r>
              <w:t>reepithelialization</w:t>
            </w:r>
            <w:proofErr w:type="spellEnd"/>
            <w:r>
              <w:t xml:space="preserve"> takes about 4–6 </w:t>
            </w:r>
            <w:proofErr w:type="spellStart"/>
            <w:r>
              <w:t>wk</w:t>
            </w:r>
            <w:proofErr w:type="spellEnd"/>
            <w:r>
              <w:t xml:space="preserve"> (including 2–4 </w:t>
            </w:r>
            <w:proofErr w:type="spellStart"/>
            <w:r>
              <w:t>wks</w:t>
            </w:r>
            <w:proofErr w:type="spellEnd"/>
            <w:r>
              <w:t xml:space="preserve"> of </w:t>
            </w:r>
            <w:proofErr w:type="spellStart"/>
            <w:r>
              <w:t>tx</w:t>
            </w:r>
            <w:proofErr w:type="spellEnd"/>
            <w:r>
              <w:t>)</w:t>
            </w:r>
          </w:p>
        </w:tc>
        <w:tc>
          <w:tcPr>
            <w:tcW w:w="0" w:type="auto"/>
            <w:tcBorders>
              <w:top w:val="single" w:sz="4" w:space="0" w:color="A6A6A6" w:themeColor="background1" w:themeShade="A6"/>
              <w:bottom w:val="single" w:sz="4" w:space="0" w:color="A6A6A6" w:themeColor="background1" w:themeShade="A6"/>
            </w:tcBorders>
          </w:tcPr>
          <w:p w:rsidR="005C7DAA" w:rsidRDefault="005C7DAA" w:rsidP="00246C53">
            <w:pPr>
              <w:pStyle w:val="Table"/>
            </w:pPr>
            <w:r>
              <w:t xml:space="preserve">Topical corticosteroids may be used following 5FU course to reduce inflammation. </w:t>
            </w:r>
          </w:p>
          <w:p w:rsidR="005C7DAA" w:rsidRDefault="005C7DAA" w:rsidP="00C46904">
            <w:pPr>
              <w:pStyle w:val="Table"/>
            </w:pPr>
            <w:r>
              <w:t xml:space="preserve">More frequent doses and longer </w:t>
            </w:r>
            <w:proofErr w:type="spellStart"/>
            <w:r>
              <w:t>tx</w:t>
            </w:r>
            <w:proofErr w:type="spellEnd"/>
            <w:r>
              <w:t xml:space="preserve"> duration with 1% cream may be needed for </w:t>
            </w:r>
            <w:proofErr w:type="spellStart"/>
            <w:r>
              <w:t>tx</w:t>
            </w:r>
            <w:proofErr w:type="spellEnd"/>
            <w:r>
              <w:t xml:space="preserve"> of areas other than face and neck.</w:t>
            </w:r>
          </w:p>
        </w:tc>
      </w:tr>
      <w:tr w:rsidR="00DE2935" w:rsidTr="005C7DAA">
        <w:tc>
          <w:tcPr>
            <w:tcW w:w="0" w:type="auto"/>
            <w:tcBorders>
              <w:top w:val="single" w:sz="4" w:space="0" w:color="A6A6A6" w:themeColor="background1" w:themeShade="A6"/>
              <w:bottom w:val="single" w:sz="4" w:space="0" w:color="A6A6A6" w:themeColor="background1" w:themeShade="A6"/>
            </w:tcBorders>
          </w:tcPr>
          <w:p w:rsidR="005C7DAA" w:rsidRPr="00AB54DF" w:rsidRDefault="005C7DAA" w:rsidP="00246C53">
            <w:pPr>
              <w:pStyle w:val="Table"/>
              <w:rPr>
                <w:b/>
              </w:rPr>
            </w:pPr>
            <w:proofErr w:type="spellStart"/>
            <w:r w:rsidRPr="00AB54DF">
              <w:rPr>
                <w:b/>
              </w:rPr>
              <w:t>Imiquimod</w:t>
            </w:r>
            <w:proofErr w:type="spellEnd"/>
            <w:r w:rsidRPr="00AB54DF">
              <w:rPr>
                <w:b/>
              </w:rPr>
              <w:t xml:space="preserve"> </w:t>
            </w:r>
          </w:p>
          <w:p w:rsidR="005C7DAA" w:rsidRDefault="005C7DAA" w:rsidP="00246C53">
            <w:pPr>
              <w:pStyle w:val="Table"/>
              <w:numPr>
                <w:ilvl w:val="0"/>
                <w:numId w:val="26"/>
              </w:numPr>
              <w:ind w:left="360" w:hanging="180"/>
            </w:pPr>
            <w:r>
              <w:t xml:space="preserve">2.5% or 3.75% </w:t>
            </w:r>
            <w:r w:rsidRPr="001E7ACE">
              <w:t xml:space="preserve">cream </w:t>
            </w:r>
            <w:r>
              <w:t>(ZYCLARA by Valeant):  o</w:t>
            </w:r>
            <w:r w:rsidRPr="00487F93">
              <w:t>nce daily to either the</w:t>
            </w:r>
            <w:r>
              <w:t xml:space="preserve"> </w:t>
            </w:r>
            <w:r w:rsidRPr="00487F93">
              <w:t>entire face or balding scalp for two 2-week treatment cycles separated</w:t>
            </w:r>
            <w:r>
              <w:t xml:space="preserve"> </w:t>
            </w:r>
            <w:r w:rsidRPr="00487F93">
              <w:t>by a 2-week no-treatment period</w:t>
            </w:r>
          </w:p>
          <w:p w:rsidR="005C7DAA" w:rsidRDefault="005C7DAA" w:rsidP="00246C53">
            <w:pPr>
              <w:pStyle w:val="Table"/>
              <w:numPr>
                <w:ilvl w:val="0"/>
                <w:numId w:val="26"/>
              </w:numPr>
              <w:ind w:left="360" w:hanging="180"/>
            </w:pPr>
            <w:r>
              <w:t xml:space="preserve">5% </w:t>
            </w:r>
            <w:r w:rsidRPr="001E7ACE">
              <w:t xml:space="preserve">cream </w:t>
            </w:r>
            <w:r>
              <w:t>(</w:t>
            </w:r>
            <w:r w:rsidRPr="00A0451B">
              <w:t xml:space="preserve">ALDARA by Valeant; generics by Taro, </w:t>
            </w:r>
            <w:proofErr w:type="spellStart"/>
            <w:r w:rsidRPr="00A0451B">
              <w:t>Perrigo</w:t>
            </w:r>
            <w:proofErr w:type="spellEnd"/>
            <w:r w:rsidRPr="00A0451B">
              <w:t xml:space="preserve">, Sandoz and Global </w:t>
            </w:r>
            <w:proofErr w:type="spellStart"/>
            <w:r w:rsidRPr="00A0451B">
              <w:t>Pharma</w:t>
            </w:r>
            <w:proofErr w:type="spellEnd"/>
            <w:r w:rsidRPr="00A0451B">
              <w:t xml:space="preserve"> Corp.</w:t>
            </w:r>
            <w:r>
              <w:t xml:space="preserve">):  apply to contiguous 25 </w:t>
            </w:r>
            <w:r w:rsidRPr="00487F93">
              <w:rPr>
                <w:rFonts w:cs="Arial"/>
              </w:rPr>
              <w:t>cm</w:t>
            </w:r>
            <w:r w:rsidRPr="00487F93">
              <w:rPr>
                <w:rFonts w:cs="Arial"/>
                <w:vertAlign w:val="superscript"/>
              </w:rPr>
              <w:t>2</w:t>
            </w:r>
            <w:r w:rsidRPr="00487F93">
              <w:rPr>
                <w:sz w:val="14"/>
              </w:rPr>
              <w:t xml:space="preserve"> </w:t>
            </w:r>
            <w:r>
              <w:t xml:space="preserve">area (forehead, scalp or one cheek) 2–3 times per </w:t>
            </w:r>
            <w:proofErr w:type="spellStart"/>
            <w:r>
              <w:t>wk</w:t>
            </w:r>
            <w:proofErr w:type="spellEnd"/>
            <w:r>
              <w:t xml:space="preserve"> for 12–16 </w:t>
            </w:r>
            <w:proofErr w:type="spellStart"/>
            <w:r>
              <w:t>wk</w:t>
            </w:r>
            <w:proofErr w:type="spellEnd"/>
          </w:p>
        </w:tc>
        <w:tc>
          <w:tcPr>
            <w:tcW w:w="0" w:type="auto"/>
            <w:tcBorders>
              <w:top w:val="single" w:sz="4" w:space="0" w:color="A6A6A6" w:themeColor="background1" w:themeShade="A6"/>
              <w:bottom w:val="single" w:sz="4" w:space="0" w:color="A6A6A6" w:themeColor="background1" w:themeShade="A6"/>
            </w:tcBorders>
          </w:tcPr>
          <w:p w:rsidR="005C7DAA" w:rsidRDefault="005C7DAA" w:rsidP="00246C53">
            <w:pPr>
              <w:pStyle w:val="Table"/>
            </w:pPr>
            <w:r>
              <w:t xml:space="preserve">Toll-like receptor agonist (TLR-7, TLR-8); </w:t>
            </w:r>
            <w:r w:rsidR="0080382B">
              <w:t xml:space="preserve">induction of </w:t>
            </w:r>
            <w:proofErr w:type="spellStart"/>
            <w:r w:rsidR="0080382B">
              <w:t>proinflammatory</w:t>
            </w:r>
            <w:proofErr w:type="spellEnd"/>
            <w:r w:rsidR="0080382B">
              <w:t xml:space="preserve"> </w:t>
            </w:r>
            <w:proofErr w:type="spellStart"/>
            <w:r w:rsidR="0080382B">
              <w:t>cytokins</w:t>
            </w:r>
            <w:proofErr w:type="spellEnd"/>
            <w:r w:rsidR="0080382B">
              <w:t xml:space="preserve">; Th-1 antitumor response; </w:t>
            </w:r>
            <w:proofErr w:type="spellStart"/>
            <w:r w:rsidR="0080382B">
              <w:t>upregulation</w:t>
            </w:r>
            <w:proofErr w:type="spellEnd"/>
            <w:r w:rsidR="0080382B">
              <w:t xml:space="preserve"> of apoptosis</w:t>
            </w:r>
          </w:p>
        </w:tc>
        <w:tc>
          <w:tcPr>
            <w:tcW w:w="0" w:type="auto"/>
            <w:tcBorders>
              <w:top w:val="single" w:sz="4" w:space="0" w:color="A6A6A6" w:themeColor="background1" w:themeShade="A6"/>
              <w:bottom w:val="single" w:sz="4" w:space="0" w:color="A6A6A6" w:themeColor="background1" w:themeShade="A6"/>
            </w:tcBorders>
          </w:tcPr>
          <w:p w:rsidR="005C7DAA" w:rsidRDefault="005C7DAA" w:rsidP="00246C53">
            <w:pPr>
              <w:pStyle w:val="Table"/>
            </w:pPr>
            <w:r>
              <w:t>Milder erythema than 5FU</w:t>
            </w:r>
          </w:p>
          <w:p w:rsidR="005C7DAA" w:rsidRDefault="005C7DAA" w:rsidP="00246C53">
            <w:pPr>
              <w:pStyle w:val="Table"/>
            </w:pPr>
            <w:r>
              <w:t>Relatively short duration of therapy with 3.75% cream</w:t>
            </w:r>
          </w:p>
          <w:p w:rsidR="005C7DAA" w:rsidRDefault="005C7DAA" w:rsidP="00246C53">
            <w:pPr>
              <w:pStyle w:val="Table"/>
            </w:pPr>
            <w:r>
              <w:t xml:space="preserve">Lower incidence of treatment-emergent adverse events with 3.75% cream than 5% cream applied for 16 </w:t>
            </w:r>
            <w:proofErr w:type="spellStart"/>
            <w:r>
              <w:t>wk</w:t>
            </w:r>
            <w:proofErr w:type="spellEnd"/>
          </w:p>
          <w:p w:rsidR="005C7DAA" w:rsidRDefault="005C7DAA" w:rsidP="00246C53">
            <w:pPr>
              <w:pStyle w:val="Table"/>
            </w:pPr>
            <w:r>
              <w:t>Low 1-y recurrence rates</w:t>
            </w:r>
          </w:p>
          <w:p w:rsidR="005C7DAA" w:rsidRDefault="005C7DAA" w:rsidP="00246C53">
            <w:pPr>
              <w:pStyle w:val="Table"/>
            </w:pPr>
            <w:r>
              <w:t xml:space="preserve">Suggested topical </w:t>
            </w:r>
            <w:proofErr w:type="spellStart"/>
            <w:r>
              <w:t>tx</w:t>
            </w:r>
            <w:proofErr w:type="spellEnd"/>
            <w:r>
              <w:t xml:space="preserve"> alternative for AK in solid organ transplant recipients</w:t>
            </w:r>
          </w:p>
        </w:tc>
        <w:tc>
          <w:tcPr>
            <w:tcW w:w="0" w:type="auto"/>
            <w:tcBorders>
              <w:top w:val="single" w:sz="4" w:space="0" w:color="A6A6A6" w:themeColor="background1" w:themeShade="A6"/>
              <w:bottom w:val="single" w:sz="4" w:space="0" w:color="A6A6A6" w:themeColor="background1" w:themeShade="A6"/>
            </w:tcBorders>
          </w:tcPr>
          <w:p w:rsidR="005C7DAA" w:rsidRDefault="005C7DAA" w:rsidP="00246C53">
            <w:pPr>
              <w:pStyle w:val="Table"/>
            </w:pPr>
            <w:r>
              <w:t xml:space="preserve">Recommended use is limited to AK on the head </w:t>
            </w:r>
          </w:p>
          <w:p w:rsidR="005C7DAA" w:rsidRDefault="005C7DAA" w:rsidP="00246C53">
            <w:pPr>
              <w:pStyle w:val="Table"/>
            </w:pPr>
            <w:r>
              <w:t>E</w:t>
            </w:r>
            <w:r w:rsidRPr="00C92AF6">
              <w:t>rythema,</w:t>
            </w:r>
            <w:r>
              <w:t xml:space="preserve"> </w:t>
            </w:r>
            <w:r w:rsidRPr="00C92AF6">
              <w:t>edema, erosion/ulceration, exudate, scabbing/crusting</w:t>
            </w:r>
            <w:r>
              <w:t>, pain, pruritus</w:t>
            </w:r>
          </w:p>
          <w:p w:rsidR="005C7DAA" w:rsidRDefault="005C7DAA" w:rsidP="00246C53">
            <w:pPr>
              <w:pStyle w:val="Table"/>
            </w:pPr>
            <w:r>
              <w:t xml:space="preserve">Severe erosion/ulceration in 9%–11% of </w:t>
            </w:r>
            <w:proofErr w:type="spellStart"/>
            <w:r>
              <w:t>pts</w:t>
            </w:r>
            <w:proofErr w:type="spellEnd"/>
            <w:r>
              <w:t xml:space="preserve"> using 2.5% or 3.75% cream</w:t>
            </w:r>
            <w:r w:rsidRPr="00C92AF6">
              <w:t xml:space="preserve"> </w:t>
            </w:r>
          </w:p>
          <w:p w:rsidR="005C7DAA" w:rsidRDefault="005C7DAA" w:rsidP="00246C53">
            <w:pPr>
              <w:pStyle w:val="Table"/>
            </w:pPr>
            <w:r>
              <w:t>F</w:t>
            </w:r>
            <w:r w:rsidRPr="00C92AF6">
              <w:t xml:space="preserve">lu-like </w:t>
            </w:r>
            <w:r>
              <w:t>symptoms</w:t>
            </w:r>
          </w:p>
          <w:p w:rsidR="005C7DAA" w:rsidRDefault="005C7DAA" w:rsidP="009C38A9">
            <w:pPr>
              <w:pStyle w:val="Table"/>
            </w:pPr>
            <w:r>
              <w:t xml:space="preserve">Lymphadenopathy was seen in 2%–3% of patients; resolves by 4 </w:t>
            </w:r>
            <w:proofErr w:type="spellStart"/>
            <w:r>
              <w:t>wk</w:t>
            </w:r>
            <w:proofErr w:type="spellEnd"/>
            <w:r>
              <w:t xml:space="preserve"> after end of </w:t>
            </w:r>
            <w:proofErr w:type="spellStart"/>
            <w:r>
              <w:t>tx</w:t>
            </w:r>
            <w:proofErr w:type="spellEnd"/>
          </w:p>
        </w:tc>
        <w:tc>
          <w:tcPr>
            <w:tcW w:w="0" w:type="auto"/>
            <w:tcBorders>
              <w:top w:val="single" w:sz="4" w:space="0" w:color="A6A6A6" w:themeColor="background1" w:themeShade="A6"/>
              <w:bottom w:val="single" w:sz="4" w:space="0" w:color="A6A6A6" w:themeColor="background1" w:themeShade="A6"/>
            </w:tcBorders>
          </w:tcPr>
          <w:p w:rsidR="005C7DAA" w:rsidRDefault="005C7DAA" w:rsidP="00246C53">
            <w:pPr>
              <w:pStyle w:val="Table"/>
            </w:pPr>
            <w:r>
              <w:t xml:space="preserve">Less frequent dosing (1–2 times per </w:t>
            </w:r>
            <w:proofErr w:type="spellStart"/>
            <w:r>
              <w:t>wk</w:t>
            </w:r>
            <w:proofErr w:type="spellEnd"/>
            <w:r>
              <w:t>) of 5% cream may improve tolerability</w:t>
            </w:r>
          </w:p>
          <w:p w:rsidR="005C7DAA" w:rsidRDefault="005C7DAA" w:rsidP="00246C53">
            <w:pPr>
              <w:pStyle w:val="Table"/>
            </w:pPr>
            <w:r>
              <w:t xml:space="preserve">Shorter courses of 5% cream treatment with a treatment-free interval may also be effective for </w:t>
            </w:r>
            <w:proofErr w:type="spellStart"/>
            <w:r>
              <w:t>nonhypertrophic</w:t>
            </w:r>
            <w:proofErr w:type="spellEnd"/>
            <w:r>
              <w:t xml:space="preserve"> AK. </w:t>
            </w:r>
          </w:p>
          <w:p w:rsidR="005C7DAA" w:rsidRDefault="005C7DAA" w:rsidP="00246C53">
            <w:pPr>
              <w:pStyle w:val="Table"/>
            </w:pPr>
            <w:r>
              <w:t xml:space="preserve">5% cream application is limited to a contiguous 25 </w:t>
            </w:r>
            <w:r w:rsidRPr="00413BC5">
              <w:rPr>
                <w:rFonts w:cs="Arial"/>
              </w:rPr>
              <w:t>cm</w:t>
            </w:r>
            <w:r w:rsidRPr="00413BC5">
              <w:rPr>
                <w:rFonts w:cs="Arial"/>
                <w:vertAlign w:val="superscript"/>
              </w:rPr>
              <w:t>2</w:t>
            </w:r>
            <w:r w:rsidRPr="00413BC5">
              <w:rPr>
                <w:sz w:val="14"/>
              </w:rPr>
              <w:t xml:space="preserve"> </w:t>
            </w:r>
            <w:r>
              <w:t>area (whereas the lower strengths have no limitation on size of application area).</w:t>
            </w:r>
          </w:p>
          <w:p w:rsidR="005C7DAA" w:rsidRDefault="005C7DAA" w:rsidP="00246C53">
            <w:pPr>
              <w:pStyle w:val="Table"/>
            </w:pPr>
          </w:p>
        </w:tc>
      </w:tr>
      <w:tr w:rsidR="00DE2935" w:rsidTr="005C7DAA">
        <w:tc>
          <w:tcPr>
            <w:tcW w:w="0" w:type="auto"/>
            <w:tcBorders>
              <w:top w:val="single" w:sz="4" w:space="0" w:color="A6A6A6" w:themeColor="background1" w:themeShade="A6"/>
              <w:bottom w:val="single" w:sz="12" w:space="0" w:color="auto"/>
            </w:tcBorders>
          </w:tcPr>
          <w:p w:rsidR="005C7DAA" w:rsidRDefault="005C7DAA" w:rsidP="00246C53">
            <w:pPr>
              <w:pStyle w:val="Table"/>
            </w:pPr>
            <w:proofErr w:type="spellStart"/>
            <w:r w:rsidRPr="00AB54DF">
              <w:rPr>
                <w:b/>
              </w:rPr>
              <w:t>Ingenol</w:t>
            </w:r>
            <w:proofErr w:type="spellEnd"/>
            <w:r w:rsidRPr="00AB54DF">
              <w:rPr>
                <w:b/>
              </w:rPr>
              <w:t xml:space="preserve"> </w:t>
            </w:r>
            <w:proofErr w:type="spellStart"/>
            <w:r w:rsidRPr="00AB54DF">
              <w:rPr>
                <w:b/>
              </w:rPr>
              <w:t>Mebutate</w:t>
            </w:r>
            <w:proofErr w:type="spellEnd"/>
            <w:r w:rsidRPr="00AB54DF">
              <w:rPr>
                <w:b/>
              </w:rPr>
              <w:t xml:space="preserve"> </w:t>
            </w:r>
          </w:p>
          <w:p w:rsidR="005C7DAA" w:rsidRDefault="005C7DAA" w:rsidP="00246C53">
            <w:pPr>
              <w:pStyle w:val="Table"/>
            </w:pPr>
            <w:r>
              <w:t xml:space="preserve">Apply gel (PICATO) once daily to a 25 </w:t>
            </w:r>
            <w:r w:rsidRPr="00AB54DF">
              <w:rPr>
                <w:rFonts w:cs="Arial"/>
              </w:rPr>
              <w:t>cm</w:t>
            </w:r>
            <w:r w:rsidRPr="00AB54DF">
              <w:rPr>
                <w:rFonts w:cs="Arial"/>
                <w:vertAlign w:val="superscript"/>
              </w:rPr>
              <w:t>2</w:t>
            </w:r>
            <w:r w:rsidRPr="00AB54DF">
              <w:rPr>
                <w:sz w:val="14"/>
              </w:rPr>
              <w:t xml:space="preserve"> </w:t>
            </w:r>
            <w:r>
              <w:t>area</w:t>
            </w:r>
          </w:p>
          <w:p w:rsidR="005C7DAA" w:rsidRDefault="005C7DAA" w:rsidP="00246C53">
            <w:pPr>
              <w:pStyle w:val="Table"/>
              <w:numPr>
                <w:ilvl w:val="0"/>
                <w:numId w:val="25"/>
              </w:numPr>
              <w:ind w:left="360" w:hanging="180"/>
            </w:pPr>
            <w:r>
              <w:t xml:space="preserve">0.015%:  on the face or scalp for 3 days </w:t>
            </w:r>
          </w:p>
          <w:p w:rsidR="005C7DAA" w:rsidRDefault="005C7DAA" w:rsidP="00222BC7">
            <w:pPr>
              <w:pStyle w:val="Table"/>
              <w:numPr>
                <w:ilvl w:val="0"/>
                <w:numId w:val="25"/>
              </w:numPr>
              <w:ind w:left="360" w:hanging="180"/>
            </w:pPr>
            <w:r>
              <w:t>0.05%:  on the trunk or extremities for 2 days</w:t>
            </w:r>
          </w:p>
        </w:tc>
        <w:tc>
          <w:tcPr>
            <w:tcW w:w="0" w:type="auto"/>
            <w:tcBorders>
              <w:top w:val="single" w:sz="4" w:space="0" w:color="A6A6A6" w:themeColor="background1" w:themeShade="A6"/>
              <w:bottom w:val="single" w:sz="12" w:space="0" w:color="auto"/>
            </w:tcBorders>
          </w:tcPr>
          <w:p w:rsidR="005C7DAA" w:rsidRDefault="005C7DAA" w:rsidP="00246C53">
            <w:pPr>
              <w:pStyle w:val="Table"/>
            </w:pPr>
          </w:p>
        </w:tc>
        <w:tc>
          <w:tcPr>
            <w:tcW w:w="0" w:type="auto"/>
            <w:tcBorders>
              <w:top w:val="single" w:sz="4" w:space="0" w:color="A6A6A6" w:themeColor="background1" w:themeShade="A6"/>
              <w:bottom w:val="single" w:sz="12" w:space="0" w:color="auto"/>
            </w:tcBorders>
          </w:tcPr>
          <w:p w:rsidR="005C7DAA" w:rsidRDefault="005C7DAA" w:rsidP="00246C53">
            <w:pPr>
              <w:pStyle w:val="Table"/>
            </w:pPr>
            <w:r>
              <w:t>Short duration of therapy</w:t>
            </w:r>
          </w:p>
          <w:p w:rsidR="005C7DAA" w:rsidRDefault="005C7DAA" w:rsidP="00AE6213">
            <w:pPr>
              <w:pStyle w:val="Table"/>
            </w:pPr>
            <w:r>
              <w:t xml:space="preserve">Durable effects at 1 y:  54%–55% recurrence rate; 87% reduction in lesion count </w:t>
            </w:r>
          </w:p>
          <w:p w:rsidR="005C7DAA" w:rsidRDefault="005C7DAA" w:rsidP="009C38A9">
            <w:pPr>
              <w:pStyle w:val="Table"/>
            </w:pPr>
            <w:r>
              <w:t>The only alternative to 5FU that is approved for AK on trunk or extremities</w:t>
            </w:r>
          </w:p>
        </w:tc>
        <w:tc>
          <w:tcPr>
            <w:tcW w:w="0" w:type="auto"/>
            <w:tcBorders>
              <w:top w:val="single" w:sz="4" w:space="0" w:color="A6A6A6" w:themeColor="background1" w:themeShade="A6"/>
              <w:bottom w:val="single" w:sz="12" w:space="0" w:color="auto"/>
            </w:tcBorders>
          </w:tcPr>
          <w:p w:rsidR="005C7DAA" w:rsidRDefault="005C7DAA" w:rsidP="00246C53">
            <w:pPr>
              <w:pStyle w:val="Table"/>
            </w:pPr>
            <w:r>
              <w:t xml:space="preserve">Erythema, scaling, crusting, swelling, edema, </w:t>
            </w:r>
            <w:proofErr w:type="spellStart"/>
            <w:r>
              <w:t>vesiculation</w:t>
            </w:r>
            <w:proofErr w:type="spellEnd"/>
            <w:r>
              <w:t xml:space="preserve">, </w:t>
            </w:r>
            <w:proofErr w:type="spellStart"/>
            <w:r>
              <w:t>pustulation</w:t>
            </w:r>
            <w:proofErr w:type="spellEnd"/>
            <w:r>
              <w:t xml:space="preserve">, ulceration, </w:t>
            </w:r>
            <w:proofErr w:type="spellStart"/>
            <w:r>
              <w:t>dyspigmentation</w:t>
            </w:r>
            <w:proofErr w:type="spellEnd"/>
            <w:r>
              <w:t>, pain, pruritus, irritation</w:t>
            </w:r>
          </w:p>
          <w:p w:rsidR="005C7DAA" w:rsidRDefault="005C7DAA" w:rsidP="00AE6213">
            <w:pPr>
              <w:pStyle w:val="Table"/>
            </w:pPr>
          </w:p>
        </w:tc>
        <w:tc>
          <w:tcPr>
            <w:tcW w:w="0" w:type="auto"/>
            <w:tcBorders>
              <w:top w:val="single" w:sz="4" w:space="0" w:color="A6A6A6" w:themeColor="background1" w:themeShade="A6"/>
              <w:bottom w:val="single" w:sz="12" w:space="0" w:color="auto"/>
            </w:tcBorders>
          </w:tcPr>
          <w:p w:rsidR="005C7DAA" w:rsidRDefault="005C7DAA" w:rsidP="00246C53">
            <w:pPr>
              <w:pStyle w:val="Table"/>
            </w:pPr>
          </w:p>
        </w:tc>
      </w:tr>
    </w:tbl>
    <w:p w:rsidR="00F7482A" w:rsidRDefault="00F7482A" w:rsidP="00F7482A">
      <w:pPr>
        <w:pStyle w:val="TableFootnote"/>
      </w:pPr>
      <w:r>
        <w:t xml:space="preserve">Sources:  </w:t>
      </w:r>
      <w:proofErr w:type="spellStart"/>
      <w:r>
        <w:t>UpToDate</w:t>
      </w:r>
      <w:proofErr w:type="spellEnd"/>
      <w:r>
        <w:t xml:space="preserve"> Online (2013)</w:t>
      </w:r>
      <w:bookmarkStart w:id="3" w:name="_Ref374455318"/>
      <w:r>
        <w:rPr>
          <w:rStyle w:val="EndnoteReference"/>
        </w:rPr>
        <w:endnoteReference w:id="11"/>
      </w:r>
      <w:bookmarkEnd w:id="3"/>
      <w:r>
        <w:t xml:space="preserve">; </w:t>
      </w:r>
      <w:proofErr w:type="spellStart"/>
      <w:r>
        <w:t>Uhlenhake</w:t>
      </w:r>
      <w:proofErr w:type="spellEnd"/>
      <w:r>
        <w:t xml:space="preserve"> (2013)</w:t>
      </w:r>
      <w:r>
        <w:rPr>
          <w:rStyle w:val="EndnoteReference"/>
        </w:rPr>
        <w:endnoteReference w:id="12"/>
      </w:r>
      <w:r>
        <w:t xml:space="preserve"> </w:t>
      </w:r>
    </w:p>
    <w:p w:rsidR="00537E8D" w:rsidRDefault="00537E8D">
      <w:pPr>
        <w:pStyle w:val="Heading1"/>
      </w:pPr>
      <w:r>
        <w:t>Dosage and Administration</w:t>
      </w:r>
    </w:p>
    <w:p w:rsidR="009E4E80" w:rsidRDefault="00162EF7" w:rsidP="009E4E80">
      <w:pPr>
        <w:rPr>
          <w:color w:val="000000"/>
        </w:rPr>
      </w:pPr>
      <w:r>
        <w:rPr>
          <w:color w:val="000000"/>
        </w:rPr>
        <w:t xml:space="preserve">The lower strength of </w:t>
      </w:r>
      <w:proofErr w:type="spellStart"/>
      <w:r>
        <w:rPr>
          <w:color w:val="000000"/>
        </w:rPr>
        <w:t>ingenol</w:t>
      </w:r>
      <w:proofErr w:type="spellEnd"/>
      <w:r>
        <w:rPr>
          <w:color w:val="000000"/>
        </w:rPr>
        <w:t xml:space="preserve"> </w:t>
      </w:r>
      <w:proofErr w:type="spellStart"/>
      <w:r>
        <w:rPr>
          <w:color w:val="000000"/>
        </w:rPr>
        <w:t>mebutate</w:t>
      </w:r>
      <w:proofErr w:type="spellEnd"/>
      <w:r>
        <w:rPr>
          <w:color w:val="000000"/>
        </w:rPr>
        <w:t xml:space="preserve"> gel (0.015%) is indicated for AK lesions on the face and scalp</w:t>
      </w:r>
      <w:r w:rsidR="00351AE4">
        <w:rPr>
          <w:color w:val="000000"/>
        </w:rPr>
        <w:t>, and</w:t>
      </w:r>
      <w:r>
        <w:rPr>
          <w:color w:val="000000"/>
        </w:rPr>
        <w:t xml:space="preserve"> </w:t>
      </w:r>
      <w:r w:rsidR="00351AE4">
        <w:rPr>
          <w:color w:val="000000"/>
        </w:rPr>
        <w:t>t</w:t>
      </w:r>
      <w:r>
        <w:rPr>
          <w:color w:val="000000"/>
        </w:rPr>
        <w:t>he higher strength gel (0.05%) is indicated for AK lesions on the trunk and extremities</w:t>
      </w:r>
      <w:r w:rsidR="00351AE4">
        <w:rPr>
          <w:color w:val="000000"/>
        </w:rPr>
        <w:t xml:space="preserve"> (</w:t>
      </w:r>
      <w:r w:rsidR="00351AE4">
        <w:rPr>
          <w:color w:val="000000"/>
        </w:rPr>
        <w:fldChar w:fldCharType="begin"/>
      </w:r>
      <w:r w:rsidR="00351AE4">
        <w:rPr>
          <w:color w:val="000000"/>
        </w:rPr>
        <w:instrText xml:space="preserve"> REF _Ref373843369 \h </w:instrText>
      </w:r>
      <w:r w:rsidR="00351AE4">
        <w:rPr>
          <w:color w:val="000000"/>
        </w:rPr>
      </w:r>
      <w:r w:rsidR="00351AE4">
        <w:rPr>
          <w:color w:val="000000"/>
        </w:rPr>
        <w:fldChar w:fldCharType="separate"/>
      </w:r>
      <w:r w:rsidR="00D93D73">
        <w:t xml:space="preserve">Table </w:t>
      </w:r>
      <w:r w:rsidR="00D93D73">
        <w:rPr>
          <w:noProof/>
        </w:rPr>
        <w:t>2</w:t>
      </w:r>
      <w:r w:rsidR="00351AE4">
        <w:rPr>
          <w:color w:val="000000"/>
        </w:rPr>
        <w:fldChar w:fldCharType="end"/>
      </w:r>
      <w:r w:rsidR="00351AE4">
        <w:rPr>
          <w:color w:val="000000"/>
        </w:rPr>
        <w:t>)</w:t>
      </w:r>
      <w:r>
        <w:rPr>
          <w:color w:val="000000"/>
        </w:rPr>
        <w:t xml:space="preserve">. </w:t>
      </w:r>
      <w:r w:rsidR="00D50371">
        <w:rPr>
          <w:color w:val="000000"/>
        </w:rPr>
        <w:t>There is potential for dosing confusion because of the availability of two different strengths depending on the body area of application.</w:t>
      </w:r>
    </w:p>
    <w:p w:rsidR="00162EF7" w:rsidRDefault="00162EF7" w:rsidP="00162EF7">
      <w:pPr>
        <w:pStyle w:val="Caption"/>
        <w:rPr>
          <w:color w:val="000000"/>
        </w:rPr>
      </w:pPr>
      <w:bookmarkStart w:id="4" w:name="_Ref373843369"/>
      <w:r>
        <w:t xml:space="preserve">Table </w:t>
      </w:r>
      <w:r w:rsidR="00017C36">
        <w:fldChar w:fldCharType="begin"/>
      </w:r>
      <w:r w:rsidR="00017C36">
        <w:instrText xml:space="preserve"> SEQ Table \* ARABIC </w:instrText>
      </w:r>
      <w:r w:rsidR="00017C36">
        <w:fldChar w:fldCharType="separate"/>
      </w:r>
      <w:r w:rsidR="00D93D73">
        <w:rPr>
          <w:noProof/>
        </w:rPr>
        <w:t>2</w:t>
      </w:r>
      <w:r w:rsidR="00017C36">
        <w:rPr>
          <w:noProof/>
        </w:rPr>
        <w:fldChar w:fldCharType="end"/>
      </w:r>
      <w:bookmarkEnd w:id="4"/>
      <w:r>
        <w:tab/>
        <w:t>Dosage</w:t>
      </w:r>
      <w:r w:rsidR="00176499">
        <w:t xml:space="preserve"> </w:t>
      </w:r>
      <w:r w:rsidR="00865ED7">
        <w:t>Regimen</w:t>
      </w:r>
      <w:r w:rsidR="00176499">
        <w:t xml:space="preserve"> </w:t>
      </w:r>
    </w:p>
    <w:tbl>
      <w:tblPr>
        <w:tblStyle w:val="TableColumns4"/>
        <w:tblW w:w="10315" w:type="dxa"/>
        <w:tblLook w:val="04A0" w:firstRow="1" w:lastRow="0" w:firstColumn="1" w:lastColumn="0" w:noHBand="0" w:noVBand="1"/>
      </w:tblPr>
      <w:tblGrid>
        <w:gridCol w:w="1717"/>
        <w:gridCol w:w="1710"/>
        <w:gridCol w:w="1787"/>
        <w:gridCol w:w="1787"/>
        <w:gridCol w:w="1520"/>
        <w:gridCol w:w="1794"/>
      </w:tblGrid>
      <w:tr w:rsidR="00E20660" w:rsidRPr="00351AE4" w:rsidTr="00102B9E">
        <w:trPr>
          <w:cnfStyle w:val="100000000000" w:firstRow="1" w:lastRow="0" w:firstColumn="0" w:lastColumn="0" w:oddVBand="0" w:evenVBand="0" w:oddHBand="0" w:evenHBand="0" w:firstRowFirstColumn="0" w:firstRowLastColumn="0" w:lastRowFirstColumn="0" w:lastRowLastColumn="0"/>
        </w:trPr>
        <w:tc>
          <w:tcPr>
            <w:tcW w:w="1717" w:type="dxa"/>
            <w:vAlign w:val="bottom"/>
          </w:tcPr>
          <w:p w:rsidR="00E20660" w:rsidRPr="00351AE4" w:rsidRDefault="00E20660" w:rsidP="00865ED7">
            <w:pPr>
              <w:pStyle w:val="Table"/>
              <w:rPr>
                <w:b/>
                <w:color w:val="FFFFFF" w:themeColor="background1"/>
              </w:rPr>
            </w:pPr>
            <w:r>
              <w:rPr>
                <w:b/>
                <w:color w:val="FFFFFF" w:themeColor="background1"/>
              </w:rPr>
              <w:t>Therapy</w:t>
            </w:r>
          </w:p>
        </w:tc>
        <w:tc>
          <w:tcPr>
            <w:tcW w:w="1710" w:type="dxa"/>
            <w:vAlign w:val="bottom"/>
          </w:tcPr>
          <w:p w:rsidR="00E20660" w:rsidRPr="00351AE4" w:rsidRDefault="00E20660" w:rsidP="003E3E56">
            <w:pPr>
              <w:pStyle w:val="Table"/>
              <w:rPr>
                <w:b/>
                <w:color w:val="FFFFFF" w:themeColor="background1"/>
              </w:rPr>
            </w:pPr>
            <w:r>
              <w:rPr>
                <w:b/>
                <w:color w:val="FFFFFF" w:themeColor="background1"/>
              </w:rPr>
              <w:t>Formulation</w:t>
            </w:r>
          </w:p>
        </w:tc>
        <w:tc>
          <w:tcPr>
            <w:tcW w:w="1787" w:type="dxa"/>
            <w:vAlign w:val="bottom"/>
          </w:tcPr>
          <w:p w:rsidR="00E20660" w:rsidRPr="00351AE4" w:rsidRDefault="00E20660" w:rsidP="00102B9E">
            <w:pPr>
              <w:pStyle w:val="Table"/>
              <w:rPr>
                <w:b/>
                <w:color w:val="FFFFFF" w:themeColor="background1"/>
              </w:rPr>
            </w:pPr>
            <w:r w:rsidRPr="00351AE4">
              <w:rPr>
                <w:b/>
                <w:color w:val="FFFFFF" w:themeColor="background1"/>
              </w:rPr>
              <w:t>Treatment Location</w:t>
            </w:r>
            <w:r>
              <w:rPr>
                <w:b/>
                <w:color w:val="FFFFFF" w:themeColor="background1"/>
              </w:rPr>
              <w:t>(s)</w:t>
            </w:r>
          </w:p>
        </w:tc>
        <w:tc>
          <w:tcPr>
            <w:tcW w:w="1787" w:type="dxa"/>
            <w:vAlign w:val="bottom"/>
          </w:tcPr>
          <w:p w:rsidR="00E20660" w:rsidRPr="00351AE4" w:rsidRDefault="00E20660" w:rsidP="003E3E56">
            <w:pPr>
              <w:pStyle w:val="Table"/>
              <w:rPr>
                <w:b/>
                <w:color w:val="FFFFFF" w:themeColor="background1"/>
              </w:rPr>
            </w:pPr>
            <w:r w:rsidRPr="00351AE4">
              <w:rPr>
                <w:b/>
                <w:color w:val="FFFFFF" w:themeColor="background1"/>
              </w:rPr>
              <w:t>Max. Single Contiguous Application Area</w:t>
            </w:r>
            <w:r>
              <w:rPr>
                <w:b/>
                <w:color w:val="FFFFFF" w:themeColor="background1"/>
              </w:rPr>
              <w:t xml:space="preserve"> or Max. Dose</w:t>
            </w:r>
          </w:p>
        </w:tc>
        <w:tc>
          <w:tcPr>
            <w:tcW w:w="1520" w:type="dxa"/>
            <w:vAlign w:val="bottom"/>
          </w:tcPr>
          <w:p w:rsidR="00E20660" w:rsidRPr="00351AE4" w:rsidRDefault="00E20660" w:rsidP="003E3E56">
            <w:pPr>
              <w:pStyle w:val="Table"/>
              <w:rPr>
                <w:b/>
                <w:color w:val="FFFFFF" w:themeColor="background1"/>
              </w:rPr>
            </w:pPr>
            <w:r w:rsidRPr="00351AE4">
              <w:rPr>
                <w:b/>
                <w:color w:val="FFFFFF"/>
              </w:rPr>
              <w:t>No. of Doses Per Day</w:t>
            </w:r>
          </w:p>
        </w:tc>
        <w:tc>
          <w:tcPr>
            <w:tcW w:w="1794" w:type="dxa"/>
            <w:vAlign w:val="bottom"/>
          </w:tcPr>
          <w:p w:rsidR="00E20660" w:rsidRPr="00351AE4" w:rsidRDefault="00E20660" w:rsidP="003E3E56">
            <w:pPr>
              <w:pStyle w:val="Table"/>
              <w:rPr>
                <w:b/>
                <w:color w:val="FFFFFF" w:themeColor="background1"/>
              </w:rPr>
            </w:pPr>
            <w:r w:rsidRPr="00351AE4">
              <w:rPr>
                <w:b/>
                <w:color w:val="FFFFFF" w:themeColor="background1"/>
              </w:rPr>
              <w:t>Duration of Therapy</w:t>
            </w:r>
            <w:r>
              <w:rPr>
                <w:b/>
                <w:color w:val="FFFFFF" w:themeColor="background1"/>
              </w:rPr>
              <w:t xml:space="preserve"> (d)</w:t>
            </w:r>
          </w:p>
        </w:tc>
      </w:tr>
      <w:tr w:rsidR="00E20660" w:rsidTr="00E20660">
        <w:tc>
          <w:tcPr>
            <w:tcW w:w="1717" w:type="dxa"/>
            <w:vMerge w:val="restart"/>
          </w:tcPr>
          <w:p w:rsidR="00E20660" w:rsidRDefault="00E20660" w:rsidP="003E3E56">
            <w:pPr>
              <w:pStyle w:val="Table"/>
            </w:pPr>
            <w:proofErr w:type="spellStart"/>
            <w:r w:rsidRPr="00865ED7">
              <w:t>Ingenol</w:t>
            </w:r>
            <w:proofErr w:type="spellEnd"/>
            <w:r w:rsidRPr="00865ED7">
              <w:t xml:space="preserve"> </w:t>
            </w:r>
            <w:proofErr w:type="spellStart"/>
            <w:r w:rsidRPr="00865ED7">
              <w:t>Mebutate</w:t>
            </w:r>
            <w:proofErr w:type="spellEnd"/>
            <w:r w:rsidRPr="00865ED7">
              <w:t xml:space="preserve"> Gel</w:t>
            </w:r>
          </w:p>
        </w:tc>
        <w:tc>
          <w:tcPr>
            <w:tcW w:w="1710" w:type="dxa"/>
          </w:tcPr>
          <w:p w:rsidR="00E20660" w:rsidRDefault="00E20660" w:rsidP="003E3E56">
            <w:pPr>
              <w:pStyle w:val="Table"/>
            </w:pPr>
            <w:r>
              <w:t>0.015% Gel</w:t>
            </w:r>
            <w:r w:rsidR="00F87504">
              <w:t xml:space="preserve"> in unit-dose tubes (PICATO, Leo </w:t>
            </w:r>
            <w:proofErr w:type="spellStart"/>
            <w:r w:rsidR="00F87504">
              <w:t>Pharma</w:t>
            </w:r>
            <w:proofErr w:type="spellEnd"/>
            <w:r w:rsidR="00F87504">
              <w:t>)</w:t>
            </w:r>
          </w:p>
        </w:tc>
        <w:tc>
          <w:tcPr>
            <w:tcW w:w="1787" w:type="dxa"/>
          </w:tcPr>
          <w:p w:rsidR="00E20660" w:rsidRDefault="00E20660" w:rsidP="00102B9E">
            <w:pPr>
              <w:pStyle w:val="Table"/>
            </w:pPr>
            <w:r>
              <w:t>Face and scalp</w:t>
            </w:r>
          </w:p>
        </w:tc>
        <w:tc>
          <w:tcPr>
            <w:tcW w:w="1787" w:type="dxa"/>
          </w:tcPr>
          <w:p w:rsidR="00E20660" w:rsidRPr="004E4984" w:rsidRDefault="00E20660" w:rsidP="003E3E56">
            <w:pPr>
              <w:pStyle w:val="Table"/>
            </w:pPr>
            <w:r>
              <w:t xml:space="preserve">25 </w:t>
            </w:r>
            <w:r w:rsidR="004E4984" w:rsidRPr="004510FB">
              <w:rPr>
                <w:rFonts w:cs="Arial"/>
                <w:szCs w:val="18"/>
              </w:rPr>
              <w:t>cm</w:t>
            </w:r>
            <w:r w:rsidR="004E4984" w:rsidRPr="004510FB">
              <w:rPr>
                <w:rFonts w:cs="Arial"/>
                <w:szCs w:val="18"/>
                <w:vertAlign w:val="superscript"/>
              </w:rPr>
              <w:t>2</w:t>
            </w:r>
            <w:r w:rsidR="004E4984" w:rsidRPr="004510FB">
              <w:rPr>
                <w:sz w:val="14"/>
              </w:rPr>
              <w:t xml:space="preserve"> </w:t>
            </w:r>
            <w:r w:rsidR="004E4984">
              <w:t>(3.9 in</w:t>
            </w:r>
            <w:r w:rsidR="004E4984" w:rsidRPr="004E4984">
              <w:rPr>
                <w:vertAlign w:val="superscript"/>
              </w:rPr>
              <w:t>2</w:t>
            </w:r>
            <w:r w:rsidR="004E4984">
              <w:t>)</w:t>
            </w:r>
          </w:p>
        </w:tc>
        <w:tc>
          <w:tcPr>
            <w:tcW w:w="1520" w:type="dxa"/>
          </w:tcPr>
          <w:p w:rsidR="00E20660" w:rsidRDefault="00E20660" w:rsidP="003E3E56">
            <w:pPr>
              <w:pStyle w:val="Table"/>
            </w:pPr>
            <w:r>
              <w:t>One</w:t>
            </w:r>
            <w:r w:rsidR="00F87504">
              <w:t>, leave for 6 hours then may wash with soap and water</w:t>
            </w:r>
          </w:p>
        </w:tc>
        <w:tc>
          <w:tcPr>
            <w:tcW w:w="1794" w:type="dxa"/>
          </w:tcPr>
          <w:p w:rsidR="00E20660" w:rsidRDefault="00E20660" w:rsidP="003E3E56">
            <w:pPr>
              <w:pStyle w:val="Table"/>
            </w:pPr>
            <w:r>
              <w:t>3 consecutive days</w:t>
            </w:r>
          </w:p>
        </w:tc>
      </w:tr>
      <w:tr w:rsidR="00E20660" w:rsidTr="00E20660">
        <w:tc>
          <w:tcPr>
            <w:tcW w:w="1717" w:type="dxa"/>
            <w:vMerge/>
          </w:tcPr>
          <w:p w:rsidR="00E20660" w:rsidRDefault="00E20660" w:rsidP="003E3E56">
            <w:pPr>
              <w:pStyle w:val="Table"/>
            </w:pPr>
          </w:p>
        </w:tc>
        <w:tc>
          <w:tcPr>
            <w:tcW w:w="1710" w:type="dxa"/>
          </w:tcPr>
          <w:p w:rsidR="00E20660" w:rsidRDefault="00E20660" w:rsidP="003E3E56">
            <w:pPr>
              <w:pStyle w:val="Table"/>
            </w:pPr>
            <w:r>
              <w:t>0.05% Gel</w:t>
            </w:r>
            <w:r w:rsidR="00F87504">
              <w:t xml:space="preserve"> </w:t>
            </w:r>
            <w:r w:rsidR="00F87504" w:rsidRPr="00F87504">
              <w:t xml:space="preserve">in unit-dose tubes (PICATO, Leo </w:t>
            </w:r>
            <w:proofErr w:type="spellStart"/>
            <w:r w:rsidR="00F87504" w:rsidRPr="00F87504">
              <w:t>Pharma</w:t>
            </w:r>
            <w:proofErr w:type="spellEnd"/>
            <w:r w:rsidR="00F87504" w:rsidRPr="00F87504">
              <w:t>)</w:t>
            </w:r>
          </w:p>
        </w:tc>
        <w:tc>
          <w:tcPr>
            <w:tcW w:w="1787" w:type="dxa"/>
          </w:tcPr>
          <w:p w:rsidR="00E20660" w:rsidRDefault="00E20660" w:rsidP="00102B9E">
            <w:pPr>
              <w:pStyle w:val="Table"/>
            </w:pPr>
            <w:r>
              <w:t>Trunk and extremities</w:t>
            </w:r>
          </w:p>
        </w:tc>
        <w:tc>
          <w:tcPr>
            <w:tcW w:w="1787" w:type="dxa"/>
          </w:tcPr>
          <w:p w:rsidR="00E20660" w:rsidRPr="004E4984" w:rsidRDefault="00E20660" w:rsidP="003E3E56">
            <w:pPr>
              <w:pStyle w:val="Table"/>
            </w:pPr>
            <w:r>
              <w:t>25 cm</w:t>
            </w:r>
            <w:r w:rsidRPr="003E3E56">
              <w:rPr>
                <w:vertAlign w:val="superscript"/>
              </w:rPr>
              <w:t>2</w:t>
            </w:r>
            <w:r w:rsidR="004E4984">
              <w:rPr>
                <w:vertAlign w:val="superscript"/>
              </w:rPr>
              <w:t xml:space="preserve"> </w:t>
            </w:r>
            <w:r w:rsidR="004E4984">
              <w:t xml:space="preserve"> (3.9 in</w:t>
            </w:r>
            <w:r w:rsidR="004E4984" w:rsidRPr="004E4984">
              <w:rPr>
                <w:vertAlign w:val="superscript"/>
              </w:rPr>
              <w:t>2</w:t>
            </w:r>
            <w:r w:rsidR="004E4984">
              <w:t>)</w:t>
            </w:r>
          </w:p>
        </w:tc>
        <w:tc>
          <w:tcPr>
            <w:tcW w:w="1520" w:type="dxa"/>
          </w:tcPr>
          <w:p w:rsidR="00E20660" w:rsidRDefault="00E20660" w:rsidP="003E3E56">
            <w:pPr>
              <w:pStyle w:val="Table"/>
            </w:pPr>
            <w:r>
              <w:t>One</w:t>
            </w:r>
            <w:r w:rsidR="00F87504" w:rsidRPr="00F87504">
              <w:t>, leave for 6 hours then may wash with soap and water</w:t>
            </w:r>
          </w:p>
        </w:tc>
        <w:tc>
          <w:tcPr>
            <w:tcW w:w="1794" w:type="dxa"/>
          </w:tcPr>
          <w:p w:rsidR="00E20660" w:rsidRDefault="00E20660" w:rsidP="003E3E56">
            <w:pPr>
              <w:pStyle w:val="Table"/>
            </w:pPr>
            <w:r>
              <w:t>2 consecutive days</w:t>
            </w:r>
          </w:p>
        </w:tc>
      </w:tr>
    </w:tbl>
    <w:p w:rsidR="003E3E56" w:rsidRDefault="003E3E56" w:rsidP="009E4E80">
      <w:pPr>
        <w:rPr>
          <w:color w:val="000000"/>
        </w:rPr>
      </w:pPr>
    </w:p>
    <w:p w:rsidR="003E3E56" w:rsidRDefault="00351AE4" w:rsidP="009E4E80">
      <w:pPr>
        <w:rPr>
          <w:color w:val="000000"/>
        </w:rPr>
      </w:pPr>
      <w:r>
        <w:rPr>
          <w:color w:val="000000"/>
        </w:rPr>
        <w:t xml:space="preserve">One unit-dose tube of </w:t>
      </w:r>
      <w:proofErr w:type="spellStart"/>
      <w:r>
        <w:rPr>
          <w:color w:val="000000"/>
        </w:rPr>
        <w:t>ingenol</w:t>
      </w:r>
      <w:proofErr w:type="spellEnd"/>
      <w:r>
        <w:rPr>
          <w:color w:val="000000"/>
        </w:rPr>
        <w:t xml:space="preserve"> </w:t>
      </w:r>
      <w:proofErr w:type="spellStart"/>
      <w:r>
        <w:rPr>
          <w:color w:val="000000"/>
        </w:rPr>
        <w:t>mebutate</w:t>
      </w:r>
      <w:proofErr w:type="spellEnd"/>
      <w:r>
        <w:rPr>
          <w:color w:val="000000"/>
        </w:rPr>
        <w:t xml:space="preserve"> should be used for up to one contiguous 25-cm</w:t>
      </w:r>
      <w:r w:rsidRPr="00162EF7">
        <w:rPr>
          <w:color w:val="000000"/>
          <w:vertAlign w:val="superscript"/>
        </w:rPr>
        <w:t>2</w:t>
      </w:r>
      <w:r>
        <w:rPr>
          <w:color w:val="000000"/>
        </w:rPr>
        <w:t xml:space="preserve"> skin area. Transfer of gel to other areas of skin or the eyes should be avoided. After application, the gel should be allowed to dry for 15 minutes. The application area should not be washed or touched for 6 hours. Thereafter, patients may wash the area with mild soap.</w:t>
      </w:r>
    </w:p>
    <w:p w:rsidR="00315FB2" w:rsidRDefault="00D50371" w:rsidP="00017C36">
      <w:pPr>
        <w:keepNext/>
        <w:rPr>
          <w:color w:val="000000"/>
        </w:rPr>
      </w:pPr>
      <w:r>
        <w:rPr>
          <w:color w:val="000000"/>
        </w:rPr>
        <w:t>There are differences among the field-based topical therapies for actinic keratosis in dosage regimens (</w:t>
      </w:r>
      <w:r>
        <w:rPr>
          <w:color w:val="000000"/>
        </w:rPr>
        <w:fldChar w:fldCharType="begin"/>
      </w:r>
      <w:r>
        <w:rPr>
          <w:color w:val="000000"/>
        </w:rPr>
        <w:instrText xml:space="preserve"> REF _Ref374370614 \h </w:instrText>
      </w:r>
      <w:r>
        <w:rPr>
          <w:color w:val="000000"/>
        </w:rPr>
      </w:r>
      <w:r>
        <w:rPr>
          <w:color w:val="000000"/>
        </w:rPr>
        <w:fldChar w:fldCharType="separate"/>
      </w:r>
      <w:r w:rsidR="00D93D73">
        <w:t xml:space="preserve">Table </w:t>
      </w:r>
      <w:r w:rsidR="00D93D73">
        <w:rPr>
          <w:noProof/>
        </w:rPr>
        <w:t>3</w:t>
      </w:r>
      <w:r>
        <w:rPr>
          <w:color w:val="000000"/>
        </w:rPr>
        <w:fldChar w:fldCharType="end"/>
      </w:r>
      <w:r>
        <w:rPr>
          <w:color w:val="000000"/>
        </w:rPr>
        <w:t>).</w:t>
      </w:r>
    </w:p>
    <w:p w:rsidR="002D622B" w:rsidRDefault="00176499" w:rsidP="00176499">
      <w:pPr>
        <w:pStyle w:val="Caption"/>
        <w:rPr>
          <w:color w:val="000000"/>
        </w:rPr>
      </w:pPr>
      <w:bookmarkStart w:id="5" w:name="_Ref374370614"/>
      <w:r>
        <w:t xml:space="preserve">Table </w:t>
      </w:r>
      <w:r w:rsidR="00017C36">
        <w:fldChar w:fldCharType="begin"/>
      </w:r>
      <w:r w:rsidR="00017C36">
        <w:instrText xml:space="preserve"> SEQ Table \* ARABIC </w:instrText>
      </w:r>
      <w:r w:rsidR="00017C36">
        <w:fldChar w:fldCharType="separate"/>
      </w:r>
      <w:r w:rsidR="00D93D73">
        <w:rPr>
          <w:noProof/>
        </w:rPr>
        <w:t>3</w:t>
      </w:r>
      <w:r w:rsidR="00017C36">
        <w:rPr>
          <w:noProof/>
        </w:rPr>
        <w:fldChar w:fldCharType="end"/>
      </w:r>
      <w:bookmarkEnd w:id="5"/>
      <w:r>
        <w:tab/>
        <w:t xml:space="preserve">Dosage Regimen for </w:t>
      </w:r>
      <w:r w:rsidR="00CA4CEC">
        <w:t xml:space="preserve">Other </w:t>
      </w:r>
      <w:r>
        <w:t>Topical Field-based Therapies for Actinic Keratosis</w:t>
      </w:r>
    </w:p>
    <w:tbl>
      <w:tblPr>
        <w:tblStyle w:val="TableColumns4"/>
        <w:tblW w:w="0" w:type="auto"/>
        <w:tblLook w:val="04A0" w:firstRow="1" w:lastRow="0" w:firstColumn="1" w:lastColumn="0" w:noHBand="0" w:noVBand="1"/>
      </w:tblPr>
      <w:tblGrid>
        <w:gridCol w:w="1691"/>
        <w:gridCol w:w="1692"/>
        <w:gridCol w:w="1692"/>
        <w:gridCol w:w="1692"/>
        <w:gridCol w:w="1692"/>
        <w:gridCol w:w="1693"/>
      </w:tblGrid>
      <w:tr w:rsidR="00E20660" w:rsidRPr="00176499" w:rsidTr="00102B9E">
        <w:trPr>
          <w:cnfStyle w:val="100000000000" w:firstRow="1" w:lastRow="0" w:firstColumn="0" w:lastColumn="0" w:oddVBand="0" w:evenVBand="0" w:oddHBand="0" w:evenHBand="0" w:firstRowFirstColumn="0" w:firstRowLastColumn="0" w:lastRowFirstColumn="0" w:lastRowLastColumn="0"/>
          <w:tblHeader/>
        </w:trPr>
        <w:tc>
          <w:tcPr>
            <w:tcW w:w="1691" w:type="dxa"/>
            <w:vAlign w:val="bottom"/>
          </w:tcPr>
          <w:p w:rsidR="00E20660" w:rsidRDefault="00E20660" w:rsidP="00017C36">
            <w:pPr>
              <w:pStyle w:val="Table"/>
              <w:keepNext/>
              <w:spacing w:beforeLines="20" w:before="48" w:afterLines="20" w:after="48"/>
              <w:rPr>
                <w:color w:val="FFFFFF" w:themeColor="background1"/>
              </w:rPr>
            </w:pPr>
            <w:r>
              <w:rPr>
                <w:color w:val="FFFFFF" w:themeColor="background1"/>
              </w:rPr>
              <w:t>Therapy</w:t>
            </w:r>
          </w:p>
        </w:tc>
        <w:tc>
          <w:tcPr>
            <w:tcW w:w="1692" w:type="dxa"/>
            <w:vAlign w:val="bottom"/>
          </w:tcPr>
          <w:p w:rsidR="00E20660" w:rsidRPr="00351AE4" w:rsidRDefault="00E20660" w:rsidP="00017C36">
            <w:pPr>
              <w:pStyle w:val="Table"/>
              <w:keepNext/>
              <w:spacing w:beforeLines="20" w:before="48" w:afterLines="20" w:after="48"/>
              <w:rPr>
                <w:b/>
                <w:color w:val="FFFFFF" w:themeColor="background1"/>
              </w:rPr>
            </w:pPr>
            <w:r>
              <w:rPr>
                <w:b/>
                <w:color w:val="FFFFFF" w:themeColor="background1"/>
              </w:rPr>
              <w:t>Formulation</w:t>
            </w:r>
          </w:p>
        </w:tc>
        <w:tc>
          <w:tcPr>
            <w:tcW w:w="1692" w:type="dxa"/>
            <w:vAlign w:val="bottom"/>
          </w:tcPr>
          <w:p w:rsidR="00E20660" w:rsidRPr="00176499" w:rsidRDefault="00E20660" w:rsidP="00017C36">
            <w:pPr>
              <w:pStyle w:val="Table"/>
              <w:keepNext/>
              <w:spacing w:beforeLines="20" w:before="48" w:afterLines="20" w:after="48"/>
              <w:rPr>
                <w:color w:val="FFFFFF" w:themeColor="background1"/>
              </w:rPr>
            </w:pPr>
            <w:r>
              <w:rPr>
                <w:color w:val="FFFFFF" w:themeColor="background1"/>
              </w:rPr>
              <w:t>Treatment Location(s)</w:t>
            </w:r>
          </w:p>
        </w:tc>
        <w:tc>
          <w:tcPr>
            <w:tcW w:w="1692" w:type="dxa"/>
            <w:vAlign w:val="bottom"/>
          </w:tcPr>
          <w:p w:rsidR="00E20660" w:rsidRPr="00351AE4" w:rsidRDefault="00E20660" w:rsidP="00017C36">
            <w:pPr>
              <w:pStyle w:val="Table"/>
              <w:keepNext/>
              <w:spacing w:beforeLines="20" w:before="48" w:afterLines="20" w:after="48"/>
              <w:rPr>
                <w:b/>
                <w:color w:val="FFFFFF" w:themeColor="background1"/>
              </w:rPr>
            </w:pPr>
            <w:r w:rsidRPr="00351AE4">
              <w:rPr>
                <w:b/>
                <w:color w:val="FFFFFF" w:themeColor="background1"/>
              </w:rPr>
              <w:t>Max. Single Contiguous Application Area</w:t>
            </w:r>
            <w:r w:rsidR="00F87504">
              <w:rPr>
                <w:b/>
                <w:color w:val="FFFFFF" w:themeColor="background1"/>
              </w:rPr>
              <w:t xml:space="preserve"> or Max. Dose</w:t>
            </w:r>
          </w:p>
        </w:tc>
        <w:tc>
          <w:tcPr>
            <w:tcW w:w="1692" w:type="dxa"/>
            <w:vAlign w:val="bottom"/>
          </w:tcPr>
          <w:p w:rsidR="00E20660" w:rsidRPr="00351AE4" w:rsidRDefault="00E20660" w:rsidP="00017C36">
            <w:pPr>
              <w:pStyle w:val="Table"/>
              <w:keepNext/>
              <w:spacing w:beforeLines="20" w:before="48" w:afterLines="20" w:after="48"/>
              <w:rPr>
                <w:b/>
                <w:color w:val="FFFFFF" w:themeColor="background1"/>
              </w:rPr>
            </w:pPr>
            <w:r w:rsidRPr="00351AE4">
              <w:rPr>
                <w:b/>
                <w:color w:val="FFFFFF"/>
              </w:rPr>
              <w:t>No. of Doses Per Day</w:t>
            </w:r>
          </w:p>
        </w:tc>
        <w:tc>
          <w:tcPr>
            <w:tcW w:w="1693" w:type="dxa"/>
            <w:vAlign w:val="bottom"/>
          </w:tcPr>
          <w:p w:rsidR="00E20660" w:rsidRPr="00351AE4" w:rsidRDefault="00E20660" w:rsidP="00017C36">
            <w:pPr>
              <w:pStyle w:val="Table"/>
              <w:keepNext/>
              <w:spacing w:beforeLines="20" w:before="48" w:afterLines="20" w:after="48"/>
              <w:rPr>
                <w:b/>
                <w:color w:val="FFFFFF" w:themeColor="background1"/>
              </w:rPr>
            </w:pPr>
            <w:r w:rsidRPr="00351AE4">
              <w:rPr>
                <w:b/>
                <w:color w:val="FFFFFF" w:themeColor="background1"/>
              </w:rPr>
              <w:t>Duration of Therapy</w:t>
            </w:r>
            <w:r>
              <w:rPr>
                <w:b/>
                <w:color w:val="FFFFFF" w:themeColor="background1"/>
              </w:rPr>
              <w:t xml:space="preserve"> (d)</w:t>
            </w:r>
          </w:p>
        </w:tc>
      </w:tr>
      <w:tr w:rsidR="00E20660" w:rsidTr="00B44F1F">
        <w:tc>
          <w:tcPr>
            <w:tcW w:w="1691" w:type="dxa"/>
            <w:tcBorders>
              <w:bottom w:val="single" w:sz="4" w:space="0" w:color="auto"/>
            </w:tcBorders>
          </w:tcPr>
          <w:p w:rsidR="00E20660" w:rsidRDefault="00E20660" w:rsidP="00926775">
            <w:pPr>
              <w:pStyle w:val="Table"/>
              <w:spacing w:beforeLines="20" w:before="48" w:afterLines="20" w:after="48"/>
            </w:pPr>
            <w:r>
              <w:t xml:space="preserve">Diclofenac Gel  </w:t>
            </w:r>
          </w:p>
        </w:tc>
        <w:tc>
          <w:tcPr>
            <w:tcW w:w="1692" w:type="dxa"/>
            <w:tcBorders>
              <w:bottom w:val="single" w:sz="4" w:space="0" w:color="auto"/>
            </w:tcBorders>
          </w:tcPr>
          <w:p w:rsidR="00E20660" w:rsidRDefault="00E20660" w:rsidP="00926775">
            <w:pPr>
              <w:pStyle w:val="Table"/>
              <w:spacing w:beforeLines="20" w:before="48" w:afterLines="20" w:after="48"/>
            </w:pPr>
            <w:r>
              <w:t xml:space="preserve">3% Gel (SOLARAZE, </w:t>
            </w:r>
            <w:proofErr w:type="spellStart"/>
            <w:r>
              <w:t>Pharmaderm</w:t>
            </w:r>
            <w:proofErr w:type="spellEnd"/>
            <w:r w:rsidR="0072592F">
              <w:t xml:space="preserve"> / </w:t>
            </w:r>
            <w:proofErr w:type="spellStart"/>
            <w:r w:rsidR="0072592F" w:rsidRPr="0072592F">
              <w:rPr>
                <w:lang w:val="en"/>
              </w:rPr>
              <w:t>Fougera</w:t>
            </w:r>
            <w:proofErr w:type="spellEnd"/>
            <w:r w:rsidR="0072592F" w:rsidRPr="0072592F">
              <w:rPr>
                <w:lang w:val="en"/>
              </w:rPr>
              <w:t xml:space="preserve"> Pharmaceuticals</w:t>
            </w:r>
            <w:r>
              <w:t>)</w:t>
            </w:r>
          </w:p>
        </w:tc>
        <w:tc>
          <w:tcPr>
            <w:tcW w:w="1692" w:type="dxa"/>
            <w:tcBorders>
              <w:bottom w:val="single" w:sz="4" w:space="0" w:color="auto"/>
            </w:tcBorders>
          </w:tcPr>
          <w:p w:rsidR="00E20660" w:rsidRDefault="00E20660" w:rsidP="00926775">
            <w:pPr>
              <w:pStyle w:val="Table"/>
              <w:spacing w:beforeLines="20" w:before="48" w:afterLines="20" w:after="48"/>
            </w:pPr>
            <w:r>
              <w:t>S</w:t>
            </w:r>
            <w:r w:rsidRPr="00865ED7">
              <w:t>calp, forehead, face, forearm and hand</w:t>
            </w:r>
          </w:p>
        </w:tc>
        <w:tc>
          <w:tcPr>
            <w:tcW w:w="1692" w:type="dxa"/>
            <w:tcBorders>
              <w:bottom w:val="single" w:sz="4" w:space="0" w:color="auto"/>
            </w:tcBorders>
          </w:tcPr>
          <w:p w:rsidR="00E20660" w:rsidRDefault="00E20660" w:rsidP="00926775">
            <w:pPr>
              <w:pStyle w:val="Table"/>
              <w:spacing w:beforeLines="20" w:before="48" w:afterLines="20" w:after="48"/>
            </w:pPr>
            <w:r>
              <w:t>Studied up to 5 major body areas each measuring 5 x 5 cm</w:t>
            </w:r>
            <w:r w:rsidRPr="00865ED7">
              <w:rPr>
                <w:vertAlign w:val="superscript"/>
              </w:rPr>
              <w:t>2</w:t>
            </w:r>
            <w:r w:rsidR="00F87504">
              <w:t xml:space="preserve">. Max. </w:t>
            </w:r>
            <w:proofErr w:type="gramStart"/>
            <w:r w:rsidR="00F87504">
              <w:t>dose</w:t>
            </w:r>
            <w:proofErr w:type="gramEnd"/>
            <w:r w:rsidR="00F87504">
              <w:t xml:space="preserve"> not established.</w:t>
            </w:r>
            <w:r>
              <w:t xml:space="preserve"> </w:t>
            </w:r>
          </w:p>
        </w:tc>
        <w:tc>
          <w:tcPr>
            <w:tcW w:w="1692" w:type="dxa"/>
            <w:tcBorders>
              <w:bottom w:val="single" w:sz="4" w:space="0" w:color="auto"/>
            </w:tcBorders>
          </w:tcPr>
          <w:p w:rsidR="00E20660" w:rsidRDefault="00E20660" w:rsidP="00926775">
            <w:pPr>
              <w:pStyle w:val="Table"/>
              <w:spacing w:beforeLines="20" w:before="48" w:afterLines="20" w:after="48"/>
            </w:pPr>
            <w:r>
              <w:t>Two</w:t>
            </w:r>
          </w:p>
        </w:tc>
        <w:tc>
          <w:tcPr>
            <w:tcW w:w="1693" w:type="dxa"/>
            <w:tcBorders>
              <w:bottom w:val="single" w:sz="4" w:space="0" w:color="auto"/>
            </w:tcBorders>
          </w:tcPr>
          <w:p w:rsidR="00E20660" w:rsidRDefault="00E20660" w:rsidP="00926775">
            <w:pPr>
              <w:pStyle w:val="Table"/>
              <w:spacing w:beforeLines="20" w:before="48" w:afterLines="20" w:after="48"/>
            </w:pPr>
            <w:r>
              <w:t>60–90</w:t>
            </w:r>
          </w:p>
          <w:p w:rsidR="00E20660" w:rsidRDefault="00E20660" w:rsidP="00926775">
            <w:pPr>
              <w:pStyle w:val="Table"/>
              <w:spacing w:beforeLines="20" w:before="48" w:afterLines="20" w:after="48"/>
            </w:pPr>
            <w:r>
              <w:t>(Maximal effect may not be evident for up to 30 d after completion of therapy)</w:t>
            </w:r>
          </w:p>
        </w:tc>
      </w:tr>
      <w:tr w:rsidR="00E20660" w:rsidTr="00B44F1F">
        <w:tc>
          <w:tcPr>
            <w:tcW w:w="1691" w:type="dxa"/>
            <w:vMerge w:val="restart"/>
            <w:tcBorders>
              <w:top w:val="single" w:sz="4" w:space="0" w:color="auto"/>
              <w:bottom w:val="nil"/>
            </w:tcBorders>
          </w:tcPr>
          <w:p w:rsidR="00E20660" w:rsidRDefault="00E20660" w:rsidP="00926775">
            <w:pPr>
              <w:pStyle w:val="Table"/>
              <w:spacing w:beforeLines="20" w:before="48" w:afterLines="20" w:after="48"/>
            </w:pPr>
            <w:r>
              <w:t>5-Fluorouracil</w:t>
            </w:r>
          </w:p>
        </w:tc>
        <w:tc>
          <w:tcPr>
            <w:tcW w:w="1692" w:type="dxa"/>
            <w:tcBorders>
              <w:top w:val="single" w:sz="4" w:space="0" w:color="auto"/>
              <w:bottom w:val="single" w:sz="4" w:space="0" w:color="auto"/>
            </w:tcBorders>
          </w:tcPr>
          <w:p w:rsidR="00E20660" w:rsidRDefault="00E20660" w:rsidP="00926775">
            <w:pPr>
              <w:pStyle w:val="Table"/>
              <w:spacing w:beforeLines="20" w:before="48" w:afterLines="20" w:after="48"/>
            </w:pPr>
            <w:r>
              <w:t>0.5% Cream (CARAC, Valeant Pharmaceuticals International)</w:t>
            </w:r>
          </w:p>
        </w:tc>
        <w:tc>
          <w:tcPr>
            <w:tcW w:w="1692" w:type="dxa"/>
            <w:tcBorders>
              <w:top w:val="single" w:sz="4" w:space="0" w:color="auto"/>
              <w:bottom w:val="single" w:sz="4" w:space="0" w:color="auto"/>
            </w:tcBorders>
            <w:vAlign w:val="center"/>
          </w:tcPr>
          <w:p w:rsidR="00E20660" w:rsidRDefault="00967295" w:rsidP="00926775">
            <w:pPr>
              <w:pStyle w:val="Table"/>
              <w:spacing w:beforeLines="20" w:before="48" w:afterLines="20" w:after="48"/>
            </w:pPr>
            <w:r>
              <w:t>Entire affected area of f</w:t>
            </w:r>
            <w:r w:rsidR="00E20660">
              <w:t>ace or anterior bald scalp</w:t>
            </w:r>
          </w:p>
        </w:tc>
        <w:tc>
          <w:tcPr>
            <w:tcW w:w="1692" w:type="dxa"/>
            <w:tcBorders>
              <w:top w:val="single" w:sz="4" w:space="0" w:color="auto"/>
              <w:bottom w:val="single" w:sz="4" w:space="0" w:color="auto"/>
            </w:tcBorders>
            <w:vAlign w:val="center"/>
          </w:tcPr>
          <w:p w:rsidR="00E20660" w:rsidRDefault="00E20660" w:rsidP="00926775">
            <w:pPr>
              <w:pStyle w:val="Table"/>
              <w:spacing w:beforeLines="20" w:before="48" w:afterLines="20" w:after="48"/>
            </w:pPr>
            <w:r>
              <w:t>Not established</w:t>
            </w:r>
          </w:p>
        </w:tc>
        <w:tc>
          <w:tcPr>
            <w:tcW w:w="1692" w:type="dxa"/>
            <w:tcBorders>
              <w:top w:val="single" w:sz="4" w:space="0" w:color="auto"/>
              <w:bottom w:val="single" w:sz="4" w:space="0" w:color="auto"/>
            </w:tcBorders>
            <w:vAlign w:val="center"/>
          </w:tcPr>
          <w:p w:rsidR="00E20660" w:rsidRDefault="00E20660" w:rsidP="00926775">
            <w:pPr>
              <w:pStyle w:val="Table"/>
              <w:spacing w:beforeLines="20" w:before="48" w:afterLines="20" w:after="48"/>
            </w:pPr>
            <w:r>
              <w:t>One</w:t>
            </w:r>
          </w:p>
        </w:tc>
        <w:tc>
          <w:tcPr>
            <w:tcW w:w="1693" w:type="dxa"/>
            <w:tcBorders>
              <w:top w:val="single" w:sz="4" w:space="0" w:color="auto"/>
              <w:bottom w:val="single" w:sz="4" w:space="0" w:color="auto"/>
            </w:tcBorders>
            <w:vAlign w:val="center"/>
          </w:tcPr>
          <w:p w:rsidR="00E20660" w:rsidRDefault="00E20660" w:rsidP="00926775">
            <w:pPr>
              <w:pStyle w:val="Table"/>
              <w:spacing w:beforeLines="20" w:before="48" w:afterLines="20" w:after="48"/>
            </w:pPr>
            <w:r>
              <w:t>Up to 28</w:t>
            </w:r>
          </w:p>
        </w:tc>
      </w:tr>
      <w:tr w:rsidR="00E20660" w:rsidTr="00B44F1F">
        <w:tc>
          <w:tcPr>
            <w:tcW w:w="1691" w:type="dxa"/>
            <w:vMerge/>
            <w:tcBorders>
              <w:top w:val="nil"/>
            </w:tcBorders>
          </w:tcPr>
          <w:p w:rsidR="00E20660" w:rsidRDefault="00E20660" w:rsidP="00926775">
            <w:pPr>
              <w:pStyle w:val="Table"/>
              <w:spacing w:beforeLines="20" w:before="48" w:afterLines="20" w:after="48"/>
            </w:pPr>
          </w:p>
        </w:tc>
        <w:tc>
          <w:tcPr>
            <w:tcW w:w="1692" w:type="dxa"/>
            <w:tcBorders>
              <w:top w:val="single" w:sz="4" w:space="0" w:color="auto"/>
              <w:bottom w:val="single" w:sz="4" w:space="0" w:color="auto"/>
            </w:tcBorders>
          </w:tcPr>
          <w:p w:rsidR="00E20660" w:rsidRDefault="00E20660" w:rsidP="00926775">
            <w:pPr>
              <w:pStyle w:val="Table"/>
              <w:spacing w:beforeLines="20" w:before="48" w:afterLines="20" w:after="48"/>
            </w:pPr>
            <w:r>
              <w:t>1% Cream (FLUOROPLEX, Aqua Pharmaceuticals)</w:t>
            </w:r>
          </w:p>
        </w:tc>
        <w:tc>
          <w:tcPr>
            <w:tcW w:w="1692" w:type="dxa"/>
            <w:tcBorders>
              <w:top w:val="single" w:sz="4" w:space="0" w:color="auto"/>
              <w:bottom w:val="single" w:sz="4" w:space="0" w:color="auto"/>
            </w:tcBorders>
            <w:vAlign w:val="center"/>
          </w:tcPr>
          <w:p w:rsidR="00E20660" w:rsidRDefault="00967295" w:rsidP="00926775">
            <w:pPr>
              <w:pStyle w:val="Table"/>
              <w:spacing w:beforeLines="20" w:before="48" w:afterLines="20" w:after="48"/>
            </w:pPr>
            <w:r>
              <w:t>Entire f</w:t>
            </w:r>
            <w:r w:rsidR="00E20660">
              <w:t>ace, other areas</w:t>
            </w:r>
          </w:p>
        </w:tc>
        <w:tc>
          <w:tcPr>
            <w:tcW w:w="1692" w:type="dxa"/>
            <w:tcBorders>
              <w:top w:val="single" w:sz="4" w:space="0" w:color="auto"/>
              <w:bottom w:val="single" w:sz="4" w:space="0" w:color="auto"/>
            </w:tcBorders>
            <w:vAlign w:val="center"/>
          </w:tcPr>
          <w:p w:rsidR="00E20660" w:rsidRDefault="00E20660" w:rsidP="00926775">
            <w:pPr>
              <w:pStyle w:val="Table"/>
              <w:spacing w:beforeLines="20" w:before="48" w:afterLines="20" w:after="48"/>
            </w:pPr>
            <w:r w:rsidRPr="00250E6F">
              <w:t>Not established</w:t>
            </w:r>
          </w:p>
        </w:tc>
        <w:tc>
          <w:tcPr>
            <w:tcW w:w="1692" w:type="dxa"/>
            <w:tcBorders>
              <w:top w:val="single" w:sz="4" w:space="0" w:color="auto"/>
              <w:bottom w:val="single" w:sz="4" w:space="0" w:color="auto"/>
            </w:tcBorders>
            <w:vAlign w:val="center"/>
          </w:tcPr>
          <w:p w:rsidR="00E20660" w:rsidRDefault="00E20660" w:rsidP="00926775">
            <w:pPr>
              <w:pStyle w:val="Table"/>
              <w:spacing w:beforeLines="20" w:before="48" w:afterLines="20" w:after="48"/>
            </w:pPr>
            <w:r>
              <w:t>Two</w:t>
            </w:r>
          </w:p>
        </w:tc>
        <w:tc>
          <w:tcPr>
            <w:tcW w:w="1693" w:type="dxa"/>
            <w:tcBorders>
              <w:top w:val="single" w:sz="4" w:space="0" w:color="auto"/>
              <w:bottom w:val="single" w:sz="4" w:space="0" w:color="auto"/>
            </w:tcBorders>
            <w:vAlign w:val="center"/>
          </w:tcPr>
          <w:p w:rsidR="00E20660" w:rsidRDefault="00E20660" w:rsidP="00926775">
            <w:pPr>
              <w:pStyle w:val="Table"/>
              <w:spacing w:beforeLines="20" w:before="48" w:afterLines="20" w:after="48"/>
            </w:pPr>
            <w:r>
              <w:t>Usually 14–42 d</w:t>
            </w:r>
          </w:p>
        </w:tc>
      </w:tr>
      <w:tr w:rsidR="00E20660" w:rsidTr="00B44F1F">
        <w:tc>
          <w:tcPr>
            <w:tcW w:w="1691" w:type="dxa"/>
            <w:vMerge/>
            <w:tcBorders>
              <w:bottom w:val="single" w:sz="4" w:space="0" w:color="auto"/>
            </w:tcBorders>
          </w:tcPr>
          <w:p w:rsidR="00E20660" w:rsidRDefault="00E20660" w:rsidP="00926775">
            <w:pPr>
              <w:pStyle w:val="Table"/>
              <w:spacing w:beforeLines="20" w:before="48" w:afterLines="20" w:after="48"/>
            </w:pPr>
          </w:p>
        </w:tc>
        <w:tc>
          <w:tcPr>
            <w:tcW w:w="1692" w:type="dxa"/>
            <w:tcBorders>
              <w:top w:val="single" w:sz="4" w:space="0" w:color="auto"/>
              <w:bottom w:val="single" w:sz="4" w:space="0" w:color="auto"/>
            </w:tcBorders>
          </w:tcPr>
          <w:p w:rsidR="00E20660" w:rsidRDefault="00E20660" w:rsidP="00926775">
            <w:pPr>
              <w:pStyle w:val="Table"/>
              <w:spacing w:beforeLines="20" w:before="48" w:afterLines="20" w:after="48"/>
            </w:pPr>
            <w:r>
              <w:t xml:space="preserve">5% Cream (EFUDEX, </w:t>
            </w:r>
            <w:r w:rsidRPr="00515F2B">
              <w:t>Valeant Pharmaceuticals International)</w:t>
            </w:r>
          </w:p>
          <w:p w:rsidR="00967295" w:rsidRDefault="00967295" w:rsidP="00926775">
            <w:pPr>
              <w:pStyle w:val="Table"/>
              <w:spacing w:beforeLines="20" w:before="48" w:afterLines="20" w:after="48"/>
            </w:pPr>
            <w:r>
              <w:t>and</w:t>
            </w:r>
          </w:p>
          <w:p w:rsidR="00E20660" w:rsidRDefault="00E20660" w:rsidP="00926775">
            <w:pPr>
              <w:pStyle w:val="Table"/>
              <w:spacing w:beforeLines="20" w:before="48" w:afterLines="20" w:after="48"/>
            </w:pPr>
            <w:r>
              <w:t>2% and 5% Solutions (</w:t>
            </w:r>
            <w:proofErr w:type="spellStart"/>
            <w:r>
              <w:t>Solco</w:t>
            </w:r>
            <w:proofErr w:type="spellEnd"/>
            <w:r>
              <w:t xml:space="preserve"> and Taro [generics])</w:t>
            </w:r>
          </w:p>
        </w:tc>
        <w:tc>
          <w:tcPr>
            <w:tcW w:w="1692" w:type="dxa"/>
            <w:tcBorders>
              <w:top w:val="single" w:sz="4" w:space="0" w:color="auto"/>
              <w:bottom w:val="single" w:sz="4" w:space="0" w:color="auto"/>
            </w:tcBorders>
            <w:vAlign w:val="center"/>
          </w:tcPr>
          <w:p w:rsidR="00E20660" w:rsidRDefault="00967295" w:rsidP="00926775">
            <w:pPr>
              <w:pStyle w:val="Table"/>
              <w:spacing w:beforeLines="20" w:before="48" w:afterLines="20" w:after="48"/>
            </w:pPr>
            <w:r>
              <w:t>Lesions; body area n</w:t>
            </w:r>
            <w:r w:rsidR="00E20660">
              <w:t>ot specified</w:t>
            </w:r>
          </w:p>
        </w:tc>
        <w:tc>
          <w:tcPr>
            <w:tcW w:w="1692" w:type="dxa"/>
            <w:tcBorders>
              <w:top w:val="single" w:sz="4" w:space="0" w:color="auto"/>
              <w:bottom w:val="single" w:sz="4" w:space="0" w:color="auto"/>
            </w:tcBorders>
            <w:vAlign w:val="center"/>
          </w:tcPr>
          <w:p w:rsidR="00E20660" w:rsidRDefault="00E20660" w:rsidP="00926775">
            <w:pPr>
              <w:pStyle w:val="Table"/>
              <w:spacing w:beforeLines="20" w:before="48" w:afterLines="20" w:after="48"/>
            </w:pPr>
            <w:r w:rsidRPr="00250E6F">
              <w:t>Not established</w:t>
            </w:r>
          </w:p>
        </w:tc>
        <w:tc>
          <w:tcPr>
            <w:tcW w:w="1692" w:type="dxa"/>
            <w:tcBorders>
              <w:top w:val="single" w:sz="4" w:space="0" w:color="auto"/>
              <w:bottom w:val="single" w:sz="4" w:space="0" w:color="auto"/>
            </w:tcBorders>
            <w:vAlign w:val="center"/>
          </w:tcPr>
          <w:p w:rsidR="00E20660" w:rsidRDefault="00E20660" w:rsidP="00926775">
            <w:pPr>
              <w:pStyle w:val="Table"/>
              <w:spacing w:beforeLines="20" w:before="48" w:afterLines="20" w:after="48"/>
            </w:pPr>
            <w:r>
              <w:t>Two</w:t>
            </w:r>
          </w:p>
        </w:tc>
        <w:tc>
          <w:tcPr>
            <w:tcW w:w="1693" w:type="dxa"/>
            <w:tcBorders>
              <w:top w:val="single" w:sz="4" w:space="0" w:color="auto"/>
              <w:bottom w:val="single" w:sz="4" w:space="0" w:color="auto"/>
            </w:tcBorders>
            <w:vAlign w:val="center"/>
          </w:tcPr>
          <w:p w:rsidR="00E20660" w:rsidRDefault="00E20660" w:rsidP="00926775">
            <w:pPr>
              <w:pStyle w:val="Table"/>
              <w:spacing w:beforeLines="20" w:before="48" w:afterLines="20" w:after="48"/>
            </w:pPr>
            <w:r>
              <w:t>14–28</w:t>
            </w:r>
            <w:r w:rsidR="00967295">
              <w:t>; stop when lesion reaches erosion stage</w:t>
            </w:r>
          </w:p>
          <w:p w:rsidR="00E20660" w:rsidRDefault="00E20660" w:rsidP="00926775">
            <w:pPr>
              <w:pStyle w:val="Table"/>
              <w:spacing w:beforeLines="20" w:before="48" w:afterLines="20" w:after="48"/>
            </w:pPr>
            <w:r>
              <w:t>(Complete healing may not be evidence for 30–60 d after completion of therapy)</w:t>
            </w:r>
          </w:p>
        </w:tc>
      </w:tr>
      <w:tr w:rsidR="00E20660" w:rsidTr="00102B9E">
        <w:tc>
          <w:tcPr>
            <w:tcW w:w="1691" w:type="dxa"/>
            <w:vMerge w:val="restart"/>
            <w:tcBorders>
              <w:top w:val="single" w:sz="4" w:space="0" w:color="auto"/>
            </w:tcBorders>
          </w:tcPr>
          <w:p w:rsidR="00E20660" w:rsidRDefault="00E20660" w:rsidP="00926775">
            <w:pPr>
              <w:pStyle w:val="Table"/>
              <w:spacing w:beforeLines="20" w:before="48" w:afterLines="20" w:after="48"/>
            </w:pPr>
            <w:proofErr w:type="spellStart"/>
            <w:r>
              <w:t>Imiquimod</w:t>
            </w:r>
            <w:proofErr w:type="spellEnd"/>
          </w:p>
        </w:tc>
        <w:tc>
          <w:tcPr>
            <w:tcW w:w="1692" w:type="dxa"/>
            <w:tcBorders>
              <w:top w:val="single" w:sz="4" w:space="0" w:color="auto"/>
              <w:bottom w:val="nil"/>
            </w:tcBorders>
          </w:tcPr>
          <w:p w:rsidR="00E20660" w:rsidRDefault="00E20660" w:rsidP="00926775">
            <w:pPr>
              <w:pStyle w:val="Table"/>
              <w:spacing w:beforeLines="20" w:before="48" w:afterLines="20" w:after="48"/>
            </w:pPr>
            <w:r>
              <w:t xml:space="preserve">5% Cream (ALDARA by Valeant; various generic </w:t>
            </w:r>
            <w:proofErr w:type="spellStart"/>
            <w:r>
              <w:t>mfrs</w:t>
            </w:r>
            <w:proofErr w:type="spellEnd"/>
            <w:r>
              <w:t>*)</w:t>
            </w:r>
          </w:p>
        </w:tc>
        <w:tc>
          <w:tcPr>
            <w:tcW w:w="1692" w:type="dxa"/>
            <w:tcBorders>
              <w:top w:val="single" w:sz="4" w:space="0" w:color="auto"/>
              <w:bottom w:val="nil"/>
            </w:tcBorders>
          </w:tcPr>
          <w:p w:rsidR="00E20660" w:rsidRDefault="00E20660" w:rsidP="00926775">
            <w:pPr>
              <w:pStyle w:val="Table"/>
              <w:spacing w:beforeLines="20" w:before="48" w:afterLines="20" w:after="48"/>
            </w:pPr>
            <w:r>
              <w:t>Face or scalp (not both concurrently)</w:t>
            </w:r>
          </w:p>
        </w:tc>
        <w:tc>
          <w:tcPr>
            <w:tcW w:w="1692" w:type="dxa"/>
            <w:tcBorders>
              <w:top w:val="single" w:sz="4" w:space="0" w:color="auto"/>
              <w:bottom w:val="nil"/>
            </w:tcBorders>
          </w:tcPr>
          <w:p w:rsidR="00E20660" w:rsidRDefault="00E20660" w:rsidP="00926775">
            <w:pPr>
              <w:pStyle w:val="Table"/>
              <w:spacing w:beforeLines="20" w:before="48" w:afterLines="20" w:after="48"/>
            </w:pPr>
            <w:r>
              <w:t xml:space="preserve">25 </w:t>
            </w:r>
            <w:r w:rsidRPr="00E20660">
              <w:rPr>
                <w:rFonts w:cs="Arial"/>
              </w:rPr>
              <w:t>cm</w:t>
            </w:r>
            <w:r w:rsidRPr="00E20660">
              <w:rPr>
                <w:rFonts w:cs="Arial"/>
                <w:vertAlign w:val="superscript"/>
              </w:rPr>
              <w:t>2</w:t>
            </w:r>
            <w:r>
              <w:t xml:space="preserve"> (one packet) on the face or scalp</w:t>
            </w:r>
          </w:p>
        </w:tc>
        <w:tc>
          <w:tcPr>
            <w:tcW w:w="1692" w:type="dxa"/>
            <w:tcBorders>
              <w:top w:val="single" w:sz="4" w:space="0" w:color="auto"/>
              <w:bottom w:val="nil"/>
            </w:tcBorders>
          </w:tcPr>
          <w:p w:rsidR="00E20660" w:rsidRDefault="00E20660" w:rsidP="00926775">
            <w:pPr>
              <w:pStyle w:val="Table"/>
              <w:spacing w:beforeLines="20" w:before="48" w:afterLines="20" w:after="48"/>
            </w:pPr>
            <w:r>
              <w:t xml:space="preserve">Twice per week at bedtime, </w:t>
            </w:r>
            <w:r w:rsidRPr="00E20660">
              <w:t>leave on for 8 h then remove with soap and water</w:t>
            </w:r>
          </w:p>
        </w:tc>
        <w:tc>
          <w:tcPr>
            <w:tcW w:w="1693" w:type="dxa"/>
            <w:tcBorders>
              <w:top w:val="single" w:sz="4" w:space="0" w:color="auto"/>
              <w:bottom w:val="nil"/>
            </w:tcBorders>
          </w:tcPr>
          <w:p w:rsidR="00E20660" w:rsidRDefault="00E20660" w:rsidP="00926775">
            <w:pPr>
              <w:pStyle w:val="Table"/>
              <w:spacing w:beforeLines="20" w:before="48" w:afterLines="20" w:after="48"/>
            </w:pPr>
            <w:r>
              <w:t xml:space="preserve">112 (i.e., 16 </w:t>
            </w:r>
            <w:proofErr w:type="spellStart"/>
            <w:r>
              <w:t>wk</w:t>
            </w:r>
            <w:proofErr w:type="spellEnd"/>
            <w:r>
              <w:t xml:space="preserve">); do not extend </w:t>
            </w:r>
            <w:proofErr w:type="spellStart"/>
            <w:r>
              <w:t>tx</w:t>
            </w:r>
            <w:proofErr w:type="spellEnd"/>
            <w:r>
              <w:t xml:space="preserve"> duration</w:t>
            </w:r>
          </w:p>
        </w:tc>
      </w:tr>
      <w:tr w:rsidR="00E20660" w:rsidTr="00A17027">
        <w:tc>
          <w:tcPr>
            <w:tcW w:w="1691" w:type="dxa"/>
            <w:vMerge/>
          </w:tcPr>
          <w:p w:rsidR="00E20660" w:rsidRDefault="00E20660" w:rsidP="00926775">
            <w:pPr>
              <w:pStyle w:val="Table"/>
              <w:spacing w:beforeLines="20" w:before="48" w:afterLines="20" w:after="48"/>
            </w:pPr>
          </w:p>
        </w:tc>
        <w:tc>
          <w:tcPr>
            <w:tcW w:w="1692" w:type="dxa"/>
            <w:tcBorders>
              <w:top w:val="nil"/>
            </w:tcBorders>
          </w:tcPr>
          <w:p w:rsidR="00E20660" w:rsidRDefault="00E20660" w:rsidP="00926775">
            <w:pPr>
              <w:pStyle w:val="Table"/>
              <w:spacing w:beforeLines="20" w:before="48" w:afterLines="20" w:after="48"/>
            </w:pPr>
            <w:r>
              <w:t xml:space="preserve">3.75% Cream (ZYCLARA and ZYCLARA PUMP by Valeant) </w:t>
            </w:r>
          </w:p>
          <w:p w:rsidR="00A17027" w:rsidRDefault="00A17027" w:rsidP="00926775">
            <w:pPr>
              <w:pStyle w:val="Table"/>
              <w:spacing w:beforeLines="20" w:before="48" w:afterLines="20" w:after="48"/>
            </w:pPr>
            <w:r>
              <w:t>and</w:t>
            </w:r>
          </w:p>
          <w:p w:rsidR="00E20660" w:rsidRDefault="00E20660" w:rsidP="00926775">
            <w:pPr>
              <w:pStyle w:val="Table"/>
              <w:spacing w:beforeLines="20" w:before="48" w:afterLines="20" w:after="48"/>
            </w:pPr>
            <w:r>
              <w:t>2.5% Cream (ZYCLARA PUMP by Valeant)</w:t>
            </w:r>
          </w:p>
        </w:tc>
        <w:tc>
          <w:tcPr>
            <w:tcW w:w="1692" w:type="dxa"/>
            <w:tcBorders>
              <w:top w:val="nil"/>
            </w:tcBorders>
            <w:vAlign w:val="center"/>
          </w:tcPr>
          <w:p w:rsidR="00E20660" w:rsidRDefault="00E20660" w:rsidP="00926775">
            <w:pPr>
              <w:pStyle w:val="Table"/>
              <w:spacing w:beforeLines="20" w:before="48" w:afterLines="20" w:after="48"/>
            </w:pPr>
            <w:r>
              <w:t>Face or balding scalp</w:t>
            </w:r>
          </w:p>
        </w:tc>
        <w:tc>
          <w:tcPr>
            <w:tcW w:w="1692" w:type="dxa"/>
            <w:tcBorders>
              <w:top w:val="nil"/>
            </w:tcBorders>
            <w:vAlign w:val="center"/>
          </w:tcPr>
          <w:p w:rsidR="00E20660" w:rsidRDefault="00E20660" w:rsidP="00926775">
            <w:pPr>
              <w:pStyle w:val="Table"/>
              <w:spacing w:beforeLines="20" w:before="48" w:afterLines="20" w:after="48"/>
            </w:pPr>
            <w:r>
              <w:t>0.5 g (2 packets or 2 full actuations of the pump)</w:t>
            </w:r>
          </w:p>
        </w:tc>
        <w:tc>
          <w:tcPr>
            <w:tcW w:w="1692" w:type="dxa"/>
            <w:tcBorders>
              <w:top w:val="nil"/>
            </w:tcBorders>
            <w:vAlign w:val="center"/>
          </w:tcPr>
          <w:p w:rsidR="00E20660" w:rsidRDefault="00E20660" w:rsidP="00926775">
            <w:pPr>
              <w:pStyle w:val="Table"/>
              <w:spacing w:beforeLines="20" w:before="48" w:afterLines="20" w:after="48"/>
            </w:pPr>
            <w:r>
              <w:t>One, at bedtime, leave on for 8 h then remove with soap and water</w:t>
            </w:r>
          </w:p>
        </w:tc>
        <w:tc>
          <w:tcPr>
            <w:tcW w:w="1693" w:type="dxa"/>
            <w:tcBorders>
              <w:top w:val="nil"/>
            </w:tcBorders>
            <w:vAlign w:val="center"/>
          </w:tcPr>
          <w:p w:rsidR="00E20660" w:rsidRDefault="00E20660" w:rsidP="00926775">
            <w:pPr>
              <w:pStyle w:val="Table"/>
              <w:spacing w:beforeLines="20" w:before="48" w:afterLines="20" w:after="48"/>
            </w:pPr>
            <w:r>
              <w:t xml:space="preserve">Two 14-d cycles separated by 14-d treatment-free period; do not extend </w:t>
            </w:r>
            <w:proofErr w:type="spellStart"/>
            <w:r>
              <w:t>tx</w:t>
            </w:r>
            <w:proofErr w:type="spellEnd"/>
            <w:r>
              <w:t xml:space="preserve"> duration</w:t>
            </w:r>
          </w:p>
        </w:tc>
      </w:tr>
    </w:tbl>
    <w:p w:rsidR="00246C53" w:rsidRDefault="00246C53" w:rsidP="00926775">
      <w:pPr>
        <w:pStyle w:val="TableFootnote"/>
        <w:spacing w:before="40" w:after="40"/>
      </w:pPr>
      <w:r>
        <w:t xml:space="preserve">Excludes </w:t>
      </w:r>
      <w:proofErr w:type="spellStart"/>
      <w:r>
        <w:t>adapalene</w:t>
      </w:r>
      <w:proofErr w:type="spellEnd"/>
      <w:r>
        <w:t>, for which there is only one RCT in AK.</w:t>
      </w:r>
    </w:p>
    <w:p w:rsidR="00176499" w:rsidRDefault="00515F2B" w:rsidP="00926775">
      <w:pPr>
        <w:pStyle w:val="TableFootnote"/>
        <w:spacing w:before="40" w:after="40"/>
      </w:pPr>
      <w:r>
        <w:t xml:space="preserve">*Manufacturers of AB-rated </w:t>
      </w:r>
      <w:proofErr w:type="spellStart"/>
      <w:r>
        <w:t>imiquimod</w:t>
      </w:r>
      <w:proofErr w:type="spellEnd"/>
      <w:r>
        <w:t xml:space="preserve"> cream 5</w:t>
      </w:r>
      <w:r w:rsidR="00102B9E">
        <w:t>%:</w:t>
      </w:r>
      <w:r>
        <w:t xml:space="preserve">  </w:t>
      </w:r>
      <w:proofErr w:type="spellStart"/>
      <w:r>
        <w:t>Apotex</w:t>
      </w:r>
      <w:proofErr w:type="spellEnd"/>
      <w:r>
        <w:t xml:space="preserve">, </w:t>
      </w:r>
      <w:proofErr w:type="spellStart"/>
      <w:r>
        <w:t>Fougera</w:t>
      </w:r>
      <w:proofErr w:type="spellEnd"/>
      <w:r>
        <w:t xml:space="preserve">, </w:t>
      </w:r>
      <w:proofErr w:type="spellStart"/>
      <w:r>
        <w:t>Glenmark</w:t>
      </w:r>
      <w:proofErr w:type="spellEnd"/>
      <w:r>
        <w:t xml:space="preserve">, </w:t>
      </w:r>
      <w:r w:rsidR="00112428">
        <w:t xml:space="preserve">Global, </w:t>
      </w:r>
      <w:proofErr w:type="spellStart"/>
      <w:r w:rsidR="00112428">
        <w:t>Perrigo</w:t>
      </w:r>
      <w:proofErr w:type="spellEnd"/>
      <w:r w:rsidR="00112428">
        <w:t xml:space="preserve">, Sandoz, </w:t>
      </w:r>
      <w:proofErr w:type="gramStart"/>
      <w:r w:rsidR="00112428">
        <w:t>Taro</w:t>
      </w:r>
      <w:proofErr w:type="gramEnd"/>
    </w:p>
    <w:p w:rsidR="00315FB2" w:rsidRDefault="00315FB2" w:rsidP="00315FB2">
      <w:pPr>
        <w:rPr>
          <w:color w:val="000000"/>
        </w:rPr>
      </w:pPr>
      <w:r>
        <w:rPr>
          <w:color w:val="000000"/>
        </w:rPr>
        <w:t xml:space="preserve">One potential advantage with </w:t>
      </w:r>
      <w:proofErr w:type="spellStart"/>
      <w:r>
        <w:rPr>
          <w:color w:val="000000"/>
        </w:rPr>
        <w:t>ingenol</w:t>
      </w:r>
      <w:proofErr w:type="spellEnd"/>
      <w:r>
        <w:rPr>
          <w:color w:val="000000"/>
        </w:rPr>
        <w:t xml:space="preserve"> </w:t>
      </w:r>
      <w:proofErr w:type="spellStart"/>
      <w:r>
        <w:rPr>
          <w:color w:val="000000"/>
        </w:rPr>
        <w:t>mebutate</w:t>
      </w:r>
      <w:proofErr w:type="spellEnd"/>
      <w:r>
        <w:rPr>
          <w:color w:val="000000"/>
        </w:rPr>
        <w:t xml:space="preserve"> is the short (2- or 3-day) treatment duration. </w:t>
      </w:r>
    </w:p>
    <w:p w:rsidR="00315FB2" w:rsidRDefault="00315FB2" w:rsidP="00315FB2">
      <w:pPr>
        <w:rPr>
          <w:color w:val="000000"/>
        </w:rPr>
      </w:pPr>
      <w:r>
        <w:t xml:space="preserve">Like other topical drug therapies, </w:t>
      </w:r>
      <w:proofErr w:type="spellStart"/>
      <w:r>
        <w:t>ingenol</w:t>
      </w:r>
      <w:proofErr w:type="spellEnd"/>
      <w:r>
        <w:t xml:space="preserve"> </w:t>
      </w:r>
      <w:proofErr w:type="spellStart"/>
      <w:r>
        <w:t>mebutate</w:t>
      </w:r>
      <w:proofErr w:type="spellEnd"/>
      <w:r>
        <w:t xml:space="preserve"> is approved for treating an area up to only 25 </w:t>
      </w:r>
      <w:r w:rsidRPr="006A568F">
        <w:t>cm</w:t>
      </w:r>
      <w:r w:rsidRPr="006A568F">
        <w:rPr>
          <w:vertAlign w:val="superscript"/>
        </w:rPr>
        <w:t>2</w:t>
      </w:r>
      <w:r w:rsidRPr="006A568F">
        <w:rPr>
          <w:sz w:val="28"/>
        </w:rPr>
        <w:t xml:space="preserve"> </w:t>
      </w:r>
      <w:r w:rsidRPr="006A568F">
        <w:t>(5 x 5 cm</w:t>
      </w:r>
      <w:r w:rsidRPr="006A568F">
        <w:rPr>
          <w:sz w:val="28"/>
        </w:rPr>
        <w:t xml:space="preserve"> </w:t>
      </w:r>
      <w:r w:rsidRPr="006A568F">
        <w:t>or about 2 x 2</w:t>
      </w:r>
      <w:r>
        <w:t xml:space="preserve"> </w:t>
      </w:r>
      <w:r w:rsidRPr="006A568F">
        <w:t>in</w:t>
      </w:r>
      <w:r>
        <w:t xml:space="preserve">), and each unit-dose tube of </w:t>
      </w:r>
      <w:proofErr w:type="spellStart"/>
      <w:r>
        <w:t>ingenol</w:t>
      </w:r>
      <w:proofErr w:type="spellEnd"/>
      <w:r>
        <w:t xml:space="preserve"> </w:t>
      </w:r>
      <w:proofErr w:type="spellStart"/>
      <w:r>
        <w:t>mebutate</w:t>
      </w:r>
      <w:proofErr w:type="spellEnd"/>
      <w:r>
        <w:t xml:space="preserve"> contains only enough medication to cover an area of that size. Other affected areas may be treated simultaneously on an off-label basis (and patients will likely misuse </w:t>
      </w:r>
      <w:proofErr w:type="spellStart"/>
      <w:r>
        <w:t>ingenol</w:t>
      </w:r>
      <w:proofErr w:type="spellEnd"/>
      <w:r>
        <w:t xml:space="preserve"> </w:t>
      </w:r>
      <w:proofErr w:type="spellStart"/>
      <w:r>
        <w:t>mebutate</w:t>
      </w:r>
      <w:proofErr w:type="spellEnd"/>
      <w:r>
        <w:t xml:space="preserve"> by treating areas larger than prescribed) but multiple tubes will need to be used and local application reactions may be more severe when treating a larger total area.</w:t>
      </w:r>
    </w:p>
    <w:p w:rsidR="00F87504" w:rsidRPr="00F87504" w:rsidRDefault="00F87504" w:rsidP="00F87504">
      <w:pPr>
        <w:pStyle w:val="Heading2"/>
      </w:pPr>
      <w:r w:rsidRPr="00F87504">
        <w:t>Storage and stability</w:t>
      </w:r>
    </w:p>
    <w:p w:rsidR="00F87504" w:rsidRPr="00F87504" w:rsidRDefault="00F87504" w:rsidP="00F87504">
      <w:pPr>
        <w:rPr>
          <w:color w:val="000000"/>
        </w:rPr>
      </w:pPr>
      <w:r w:rsidRPr="00F87504">
        <w:rPr>
          <w:color w:val="000000"/>
        </w:rPr>
        <w:t>Store in a refrigerator at 2° to 8°C (36° to 46°F); excursions are permitted between 0° and 15°C (32° and 59°F). Protect from freezing.</w:t>
      </w:r>
    </w:p>
    <w:p w:rsidR="00176499" w:rsidRDefault="00176499">
      <w:pPr>
        <w:rPr>
          <w:color w:val="000000"/>
        </w:rPr>
      </w:pPr>
    </w:p>
    <w:p w:rsidR="00537E8D" w:rsidRDefault="00537E8D">
      <w:pPr>
        <w:pStyle w:val="Heading1"/>
      </w:pPr>
      <w:r>
        <w:t xml:space="preserve">Efficacy </w:t>
      </w:r>
    </w:p>
    <w:p w:rsidR="00E352E7" w:rsidRPr="00E352E7" w:rsidRDefault="00E321ED" w:rsidP="00E352E7">
      <w:r>
        <w:t>E</w:t>
      </w:r>
      <w:r w:rsidR="00E352E7">
        <w:t xml:space="preserve">fficacy measures </w:t>
      </w:r>
      <w:r>
        <w:t xml:space="preserve">of interest </w:t>
      </w:r>
      <w:r w:rsidR="00E352E7">
        <w:t xml:space="preserve">include cosmetic acceptability, relief of associated symptoms, </w:t>
      </w:r>
      <w:proofErr w:type="gramStart"/>
      <w:r w:rsidR="00E352E7">
        <w:t>clearance</w:t>
      </w:r>
      <w:proofErr w:type="gramEnd"/>
      <w:r w:rsidR="00E352E7">
        <w:t xml:space="preserve"> of subclinical lesions and prevention of skin cancer.</w:t>
      </w:r>
    </w:p>
    <w:p w:rsidR="00537E8D" w:rsidRDefault="00537E8D">
      <w:pPr>
        <w:pStyle w:val="Heading2"/>
      </w:pPr>
      <w:r>
        <w:t>Efficacy Measures</w:t>
      </w:r>
      <w:r w:rsidR="00E321ED">
        <w:t xml:space="preserve"> Used in Clinical Trials</w:t>
      </w:r>
    </w:p>
    <w:p w:rsidR="009E4E80" w:rsidRDefault="0027610D" w:rsidP="002F438F">
      <w:pPr>
        <w:pStyle w:val="ListBullet2"/>
        <w:numPr>
          <w:ilvl w:val="0"/>
          <w:numId w:val="36"/>
        </w:numPr>
      </w:pPr>
      <w:r>
        <w:t>Complete Clearance:  no (zero) clinically visible AK lesions in the treatment area</w:t>
      </w:r>
      <w:r w:rsidR="009E4E80">
        <w:t>.</w:t>
      </w:r>
    </w:p>
    <w:p w:rsidR="0027610D" w:rsidRDefault="0027610D" w:rsidP="002F438F">
      <w:pPr>
        <w:pStyle w:val="ListBullet2"/>
        <w:numPr>
          <w:ilvl w:val="0"/>
          <w:numId w:val="36"/>
        </w:numPr>
      </w:pPr>
      <w:r>
        <w:t xml:space="preserve">Partial Clearance:  75% or greater reduction in number of AK lesions from baseline in the treatment area </w:t>
      </w:r>
    </w:p>
    <w:p w:rsidR="0027610D" w:rsidRDefault="0027610D" w:rsidP="002F438F">
      <w:pPr>
        <w:pStyle w:val="ListBullet2"/>
        <w:numPr>
          <w:ilvl w:val="0"/>
          <w:numId w:val="36"/>
        </w:numPr>
      </w:pPr>
      <w:r>
        <w:t>Recurrence Rate:  percentage of subjects with any identified AK lesion in the previously treated area who achieved complete clearance at Day 57.</w:t>
      </w:r>
    </w:p>
    <w:p w:rsidR="00537E8D" w:rsidRDefault="00537E8D">
      <w:pPr>
        <w:pStyle w:val="Heading2"/>
      </w:pPr>
      <w:r>
        <w:t xml:space="preserve">Summary of efficacy findings </w:t>
      </w:r>
    </w:p>
    <w:p w:rsidR="00537E8D" w:rsidRDefault="00F60627">
      <w:r>
        <w:t xml:space="preserve">Two small Phase II studies </w:t>
      </w:r>
      <w:r w:rsidR="009E2857">
        <w:t xml:space="preserve">that </w:t>
      </w:r>
      <w:r>
        <w:t xml:space="preserve">supported further investigation of </w:t>
      </w:r>
      <w:proofErr w:type="spellStart"/>
      <w:r>
        <w:t>ingenol</w:t>
      </w:r>
      <w:proofErr w:type="spellEnd"/>
      <w:r>
        <w:t xml:space="preserve"> </w:t>
      </w:r>
      <w:proofErr w:type="spellStart"/>
      <w:r>
        <w:t>mebutate</w:t>
      </w:r>
      <w:proofErr w:type="spellEnd"/>
      <w:r>
        <w:t xml:space="preserve"> for AK</w:t>
      </w:r>
      <w:r w:rsidR="009E2857">
        <w:t xml:space="preserve"> are not included in this review</w:t>
      </w:r>
      <w:r>
        <w:t>.</w:t>
      </w:r>
      <w:r>
        <w:rPr>
          <w:rStyle w:val="EndnoteReference"/>
        </w:rPr>
        <w:endnoteReference w:id="13"/>
      </w:r>
      <w:r>
        <w:rPr>
          <w:vertAlign w:val="superscript"/>
        </w:rPr>
        <w:t>,</w:t>
      </w:r>
      <w:r>
        <w:rPr>
          <w:rStyle w:val="EndnoteReference"/>
        </w:rPr>
        <w:endnoteReference w:id="14"/>
      </w:r>
      <w:r>
        <w:t xml:space="preserve"> </w:t>
      </w:r>
      <w:r w:rsidR="004510FB">
        <w:t>Four</w:t>
      </w:r>
      <w:r w:rsidR="007408B1">
        <w:t xml:space="preserve"> </w:t>
      </w:r>
      <w:r w:rsidR="007771DD">
        <w:t xml:space="preserve">8-week, </w:t>
      </w:r>
      <w:r w:rsidR="00A537E4" w:rsidRPr="00A537E4">
        <w:t xml:space="preserve">Phase III, </w:t>
      </w:r>
      <w:r w:rsidR="007408B1">
        <w:t>multicenter, double-blind, vehicle-controlled randomized clinical trials (RCTs)</w:t>
      </w:r>
      <w:bookmarkStart w:id="6" w:name="_Ref379373846"/>
      <w:r w:rsidR="00A537E4">
        <w:rPr>
          <w:rStyle w:val="EndnoteReference"/>
        </w:rPr>
        <w:endnoteReference w:id="15"/>
      </w:r>
      <w:bookmarkEnd w:id="6"/>
      <w:r w:rsidR="00A537E4">
        <w:rPr>
          <w:vertAlign w:val="superscript"/>
        </w:rPr>
        <w:t>,</w:t>
      </w:r>
      <w:r w:rsidR="00A537E4">
        <w:rPr>
          <w:rStyle w:val="EndnoteReference"/>
        </w:rPr>
        <w:endnoteReference w:id="16"/>
      </w:r>
      <w:r w:rsidR="00A537E4">
        <w:rPr>
          <w:vertAlign w:val="superscript"/>
        </w:rPr>
        <w:t>,</w:t>
      </w:r>
      <w:r w:rsidR="00A537E4">
        <w:rPr>
          <w:rStyle w:val="EndnoteReference"/>
        </w:rPr>
        <w:endnoteReference w:id="17"/>
      </w:r>
      <w:r w:rsidR="00A537E4">
        <w:rPr>
          <w:vertAlign w:val="superscript"/>
        </w:rPr>
        <w:t>,</w:t>
      </w:r>
      <w:r w:rsidR="00A537E4" w:rsidRPr="00A537E4">
        <w:rPr>
          <w:vertAlign w:val="superscript"/>
        </w:rPr>
        <w:fldChar w:fldCharType="begin"/>
      </w:r>
      <w:r w:rsidR="00A537E4" w:rsidRPr="00A537E4">
        <w:rPr>
          <w:vertAlign w:val="superscript"/>
        </w:rPr>
        <w:instrText xml:space="preserve"> NOTEREF _Ref379373723 \h </w:instrText>
      </w:r>
      <w:r w:rsidR="00A537E4">
        <w:rPr>
          <w:vertAlign w:val="superscript"/>
        </w:rPr>
        <w:instrText xml:space="preserve"> \* MERGEFORMAT </w:instrText>
      </w:r>
      <w:r w:rsidR="00A537E4" w:rsidRPr="00A537E4">
        <w:rPr>
          <w:vertAlign w:val="superscript"/>
        </w:rPr>
      </w:r>
      <w:r w:rsidR="00A537E4" w:rsidRPr="00A537E4">
        <w:rPr>
          <w:vertAlign w:val="superscript"/>
        </w:rPr>
        <w:fldChar w:fldCharType="separate"/>
      </w:r>
      <w:r w:rsidR="00D93D73">
        <w:rPr>
          <w:vertAlign w:val="superscript"/>
        </w:rPr>
        <w:t>17</w:t>
      </w:r>
      <w:r w:rsidR="00A537E4" w:rsidRPr="00A537E4">
        <w:rPr>
          <w:vertAlign w:val="superscript"/>
        </w:rPr>
        <w:fldChar w:fldCharType="end"/>
      </w:r>
      <w:r w:rsidR="007408B1">
        <w:t xml:space="preserve"> were performed, </w:t>
      </w:r>
      <w:r w:rsidR="00DE2935">
        <w:t>and results were reported in one publication.</w:t>
      </w:r>
      <w:r w:rsidR="00A537E4" w:rsidRPr="00A537E4">
        <w:rPr>
          <w:vertAlign w:val="superscript"/>
        </w:rPr>
        <w:fldChar w:fldCharType="begin"/>
      </w:r>
      <w:r w:rsidR="00A537E4" w:rsidRPr="00A537E4">
        <w:rPr>
          <w:vertAlign w:val="superscript"/>
        </w:rPr>
        <w:instrText xml:space="preserve"> NOTEREF _Ref379373846 \h </w:instrText>
      </w:r>
      <w:r w:rsidR="00A537E4">
        <w:rPr>
          <w:vertAlign w:val="superscript"/>
        </w:rPr>
        <w:instrText xml:space="preserve"> \* MERGEFORMAT </w:instrText>
      </w:r>
      <w:r w:rsidR="00A537E4" w:rsidRPr="00A537E4">
        <w:rPr>
          <w:vertAlign w:val="superscript"/>
        </w:rPr>
      </w:r>
      <w:r w:rsidR="00A537E4" w:rsidRPr="00A537E4">
        <w:rPr>
          <w:vertAlign w:val="superscript"/>
        </w:rPr>
        <w:fldChar w:fldCharType="separate"/>
      </w:r>
      <w:r w:rsidR="00D93D73">
        <w:rPr>
          <w:vertAlign w:val="superscript"/>
        </w:rPr>
        <w:t>14</w:t>
      </w:r>
      <w:r w:rsidR="00A537E4" w:rsidRPr="00A537E4">
        <w:rPr>
          <w:vertAlign w:val="superscript"/>
        </w:rPr>
        <w:fldChar w:fldCharType="end"/>
      </w:r>
      <w:r w:rsidR="00A537E4">
        <w:t xml:space="preserve"> </w:t>
      </w:r>
      <w:r w:rsidR="00DE2935">
        <w:t>T</w:t>
      </w:r>
      <w:r w:rsidR="007408B1">
        <w:t>wo studies evaluat</w:t>
      </w:r>
      <w:r w:rsidR="00DE2935">
        <w:t>ed</w:t>
      </w:r>
      <w:r w:rsidR="007408B1">
        <w:t xml:space="preserve"> </w:t>
      </w:r>
      <w:proofErr w:type="spellStart"/>
      <w:r w:rsidR="007408B1">
        <w:t>ingenol</w:t>
      </w:r>
      <w:proofErr w:type="spellEnd"/>
      <w:r w:rsidR="007408B1">
        <w:t xml:space="preserve"> </w:t>
      </w:r>
      <w:proofErr w:type="spellStart"/>
      <w:r w:rsidR="007408B1">
        <w:t>mebutate</w:t>
      </w:r>
      <w:proofErr w:type="spellEnd"/>
      <w:r w:rsidR="007408B1">
        <w:t xml:space="preserve"> (at the </w:t>
      </w:r>
      <w:r w:rsidR="00A5074A">
        <w:t xml:space="preserve">subsequently </w:t>
      </w:r>
      <w:r w:rsidR="007408B1">
        <w:t>approved recommended doses) for AK of the face or scalp</w:t>
      </w:r>
      <w:r w:rsidR="007771DD">
        <w:t xml:space="preserve"> (N=547)</w:t>
      </w:r>
      <w:r w:rsidR="007408B1">
        <w:t>, and two studies for AK of the trunk or extremities</w:t>
      </w:r>
      <w:r w:rsidR="007771DD">
        <w:t xml:space="preserve"> (N=458)</w:t>
      </w:r>
      <w:r w:rsidR="00537E8D">
        <w:t>.</w:t>
      </w:r>
      <w:r w:rsidR="007408B1">
        <w:t xml:space="preserve"> </w:t>
      </w:r>
      <w:r w:rsidR="007771DD">
        <w:t>Methodologies were similar for the four trials:  each subject had 4 to 8 clinically typical, visible, discrete AK lesions within a 24-cm</w:t>
      </w:r>
      <w:r w:rsidR="007771DD" w:rsidRPr="007771DD">
        <w:rPr>
          <w:vertAlign w:val="superscript"/>
        </w:rPr>
        <w:t>2</w:t>
      </w:r>
      <w:r w:rsidR="007771DD">
        <w:t xml:space="preserve"> contiguous treatment area, excluding hypertrophic and </w:t>
      </w:r>
      <w:proofErr w:type="spellStart"/>
      <w:r w:rsidR="007771DD">
        <w:t>hyperkeratotic</w:t>
      </w:r>
      <w:proofErr w:type="spellEnd"/>
      <w:r w:rsidR="007771DD">
        <w:t xml:space="preserve"> lesions. Completion rates for the trials were high (98% for the two studies for AK of face or scalp, and for the two studies for AK of the trunk or extremities). About 85% of subjects were male in the face/scalp studies and 62% were male in the trunk/extremities studies. All subject</w:t>
      </w:r>
      <w:r w:rsidR="00C10DFD">
        <w:t>s</w:t>
      </w:r>
      <w:r w:rsidR="007771DD">
        <w:t xml:space="preserve"> treated with </w:t>
      </w:r>
      <w:proofErr w:type="spellStart"/>
      <w:r w:rsidR="007771DD">
        <w:t>ingenol</w:t>
      </w:r>
      <w:proofErr w:type="spellEnd"/>
      <w:r w:rsidR="007771DD">
        <w:t xml:space="preserve"> </w:t>
      </w:r>
      <w:proofErr w:type="spellStart"/>
      <w:r w:rsidR="007771DD">
        <w:t>mebutate</w:t>
      </w:r>
      <w:proofErr w:type="spellEnd"/>
      <w:r w:rsidR="007771DD">
        <w:t xml:space="preserve"> were Caucasian. Mean ages were 64 years and 66 years for the face/scalp and trunk/extremities studies, respectively (overall age range, 34–89 years), and 94% of subjects had Fitzpatrick skin type I, II or III. </w:t>
      </w:r>
    </w:p>
    <w:p w:rsidR="00C10DFD" w:rsidRDefault="00C10DFD">
      <w:pPr>
        <w:numPr>
          <w:ilvl w:val="0"/>
          <w:numId w:val="22"/>
        </w:numPr>
      </w:pPr>
      <w:r>
        <w:t>Results reflect a Caucasian study population of mostly men with mean ages of 64–66 years.</w:t>
      </w:r>
    </w:p>
    <w:p w:rsidR="00C10DFD" w:rsidRDefault="00C10DFD">
      <w:pPr>
        <w:numPr>
          <w:ilvl w:val="0"/>
          <w:numId w:val="22"/>
        </w:numPr>
      </w:pPr>
      <w:r>
        <w:t xml:space="preserve">There were no studies directly comparing </w:t>
      </w:r>
      <w:proofErr w:type="spellStart"/>
      <w:r>
        <w:t>ingenol</w:t>
      </w:r>
      <w:proofErr w:type="spellEnd"/>
      <w:r>
        <w:t xml:space="preserve"> </w:t>
      </w:r>
      <w:proofErr w:type="spellStart"/>
      <w:r>
        <w:t>mebutate</w:t>
      </w:r>
      <w:proofErr w:type="spellEnd"/>
      <w:r>
        <w:t xml:space="preserve"> with other active treatment alternatives.</w:t>
      </w:r>
    </w:p>
    <w:p w:rsidR="00C10DFD" w:rsidRDefault="00C10DFD" w:rsidP="00C10DFD">
      <w:pPr>
        <w:numPr>
          <w:ilvl w:val="0"/>
          <w:numId w:val="22"/>
        </w:numPr>
      </w:pPr>
      <w:proofErr w:type="spellStart"/>
      <w:r>
        <w:t>Ingenol</w:t>
      </w:r>
      <w:proofErr w:type="spellEnd"/>
      <w:r>
        <w:t xml:space="preserve"> </w:t>
      </w:r>
      <w:proofErr w:type="spellStart"/>
      <w:r>
        <w:t>mebutate</w:t>
      </w:r>
      <w:proofErr w:type="spellEnd"/>
      <w:r>
        <w:t xml:space="preserve"> treatment had consistently moderate-to-large effect sizes in the treatment of AK, with NNTs for complete clearance (versus vehicle) of 3 (2 RCTs) for AK of the face or scalp, and NNTs of 3 and 5 (2 RCTs) for AK of the trunk or extremities. See </w:t>
      </w:r>
      <w:r>
        <w:fldChar w:fldCharType="begin"/>
      </w:r>
      <w:r>
        <w:instrText xml:space="preserve"> REF _Ref373852755 \h </w:instrText>
      </w:r>
      <w:r>
        <w:fldChar w:fldCharType="separate"/>
      </w:r>
      <w:r w:rsidR="00D93D73">
        <w:t xml:space="preserve">Table </w:t>
      </w:r>
      <w:r w:rsidR="00D93D73">
        <w:rPr>
          <w:noProof/>
        </w:rPr>
        <w:t>4</w:t>
      </w:r>
      <w:r>
        <w:fldChar w:fldCharType="end"/>
      </w:r>
      <w:r>
        <w:t xml:space="preserve"> to </w:t>
      </w:r>
      <w:r>
        <w:fldChar w:fldCharType="begin"/>
      </w:r>
      <w:r>
        <w:instrText xml:space="preserve"> REF _Ref373852759 \h </w:instrText>
      </w:r>
      <w:r>
        <w:fldChar w:fldCharType="separate"/>
      </w:r>
      <w:r w:rsidR="00D93D73">
        <w:t xml:space="preserve">Table </w:t>
      </w:r>
      <w:r w:rsidR="00D93D73">
        <w:rPr>
          <w:noProof/>
        </w:rPr>
        <w:t>6</w:t>
      </w:r>
      <w:r>
        <w:fldChar w:fldCharType="end"/>
      </w:r>
      <w:r>
        <w:t>.</w:t>
      </w:r>
    </w:p>
    <w:p w:rsidR="009E4E80" w:rsidRDefault="009E4E80" w:rsidP="009E4E80"/>
    <w:p w:rsidR="001E0675" w:rsidRDefault="001E0675" w:rsidP="00A5074A">
      <w:pPr>
        <w:pStyle w:val="Caption"/>
        <w:spacing w:before="40" w:after="40"/>
      </w:pPr>
      <w:bookmarkStart w:id="7" w:name="_Ref373852755"/>
      <w:r>
        <w:t xml:space="preserve">Table </w:t>
      </w:r>
      <w:r w:rsidR="00017C36">
        <w:fldChar w:fldCharType="begin"/>
      </w:r>
      <w:r w:rsidR="00017C36">
        <w:instrText xml:space="preserve"> SEQ Table \* ARABIC </w:instrText>
      </w:r>
      <w:r w:rsidR="00017C36">
        <w:fldChar w:fldCharType="separate"/>
      </w:r>
      <w:r w:rsidR="00D93D73">
        <w:rPr>
          <w:noProof/>
        </w:rPr>
        <w:t>4</w:t>
      </w:r>
      <w:r w:rsidR="00017C36">
        <w:rPr>
          <w:noProof/>
        </w:rPr>
        <w:fldChar w:fldCharType="end"/>
      </w:r>
      <w:bookmarkEnd w:id="7"/>
      <w:r>
        <w:tab/>
        <w:t>Results of Clinical Trials, AK of Face or Scalp</w:t>
      </w:r>
    </w:p>
    <w:tbl>
      <w:tblPr>
        <w:tblStyle w:val="TableColumns4"/>
        <w:tblW w:w="0" w:type="auto"/>
        <w:tblLook w:val="04A0" w:firstRow="1" w:lastRow="0" w:firstColumn="1" w:lastColumn="0" w:noHBand="0" w:noVBand="1"/>
      </w:tblPr>
      <w:tblGrid>
        <w:gridCol w:w="2529"/>
        <w:gridCol w:w="1106"/>
        <w:gridCol w:w="857"/>
        <w:gridCol w:w="222"/>
        <w:gridCol w:w="1106"/>
        <w:gridCol w:w="857"/>
      </w:tblGrid>
      <w:tr w:rsidR="00EC19C4" w:rsidRPr="00EC19C4" w:rsidTr="001E0675">
        <w:trPr>
          <w:cnfStyle w:val="100000000000" w:firstRow="1" w:lastRow="0" w:firstColumn="0" w:lastColumn="0" w:oddVBand="0" w:evenVBand="0" w:oddHBand="0" w:evenHBand="0" w:firstRowFirstColumn="0" w:firstRowLastColumn="0" w:lastRowFirstColumn="0" w:lastRowLastColumn="0"/>
        </w:trPr>
        <w:tc>
          <w:tcPr>
            <w:tcW w:w="0" w:type="auto"/>
          </w:tcPr>
          <w:p w:rsidR="00EC19C4" w:rsidRPr="00EC19C4" w:rsidRDefault="00EC19C4" w:rsidP="00A5074A">
            <w:pPr>
              <w:pStyle w:val="Table"/>
              <w:keepNext/>
              <w:spacing w:before="40" w:after="40"/>
              <w:rPr>
                <w:color w:val="FFFFFF" w:themeColor="background1"/>
              </w:rPr>
            </w:pPr>
          </w:p>
        </w:tc>
        <w:tc>
          <w:tcPr>
            <w:tcW w:w="0" w:type="auto"/>
            <w:gridSpan w:val="2"/>
            <w:tcBorders>
              <w:bottom w:val="single" w:sz="4" w:space="0" w:color="FFFFFF" w:themeColor="background1"/>
            </w:tcBorders>
            <w:vAlign w:val="bottom"/>
          </w:tcPr>
          <w:p w:rsidR="00EC19C4" w:rsidRPr="00EC19C4" w:rsidRDefault="00EC19C4" w:rsidP="00A5074A">
            <w:pPr>
              <w:pStyle w:val="Table"/>
              <w:keepNext/>
              <w:spacing w:before="40" w:after="40"/>
              <w:jc w:val="center"/>
              <w:rPr>
                <w:color w:val="FFFFFF" w:themeColor="background1"/>
              </w:rPr>
            </w:pPr>
            <w:r>
              <w:rPr>
                <w:color w:val="FFFFFF" w:themeColor="background1"/>
              </w:rPr>
              <w:t>STUDY 1</w:t>
            </w:r>
          </w:p>
        </w:tc>
        <w:tc>
          <w:tcPr>
            <w:tcW w:w="0" w:type="auto"/>
          </w:tcPr>
          <w:p w:rsidR="00EC19C4" w:rsidRPr="00EC19C4" w:rsidRDefault="00EC19C4" w:rsidP="00A5074A">
            <w:pPr>
              <w:pStyle w:val="Table"/>
              <w:keepNext/>
              <w:spacing w:before="40" w:after="40"/>
              <w:rPr>
                <w:color w:val="FFFFFF" w:themeColor="background1"/>
              </w:rPr>
            </w:pPr>
          </w:p>
        </w:tc>
        <w:tc>
          <w:tcPr>
            <w:tcW w:w="0" w:type="auto"/>
            <w:gridSpan w:val="2"/>
            <w:tcBorders>
              <w:bottom w:val="single" w:sz="4" w:space="0" w:color="FFFFFF" w:themeColor="background1"/>
            </w:tcBorders>
            <w:vAlign w:val="bottom"/>
          </w:tcPr>
          <w:p w:rsidR="00EC19C4" w:rsidRPr="00EC19C4" w:rsidRDefault="00EC19C4" w:rsidP="00A5074A">
            <w:pPr>
              <w:pStyle w:val="Table"/>
              <w:keepNext/>
              <w:spacing w:before="40" w:after="40"/>
              <w:jc w:val="center"/>
              <w:rPr>
                <w:color w:val="FFFFFF" w:themeColor="background1"/>
              </w:rPr>
            </w:pPr>
            <w:r>
              <w:rPr>
                <w:color w:val="FFFFFF" w:themeColor="background1"/>
              </w:rPr>
              <w:t>STUDY 2</w:t>
            </w:r>
          </w:p>
        </w:tc>
      </w:tr>
      <w:tr w:rsidR="00EC19C4" w:rsidRPr="00EC19C4" w:rsidTr="001E0675">
        <w:tc>
          <w:tcPr>
            <w:tcW w:w="0" w:type="auto"/>
            <w:shd w:val="clear" w:color="auto" w:fill="000000" w:themeFill="text1"/>
            <w:vAlign w:val="bottom"/>
          </w:tcPr>
          <w:p w:rsidR="00EC19C4" w:rsidRPr="00EC19C4" w:rsidRDefault="00EC19C4" w:rsidP="00A5074A">
            <w:pPr>
              <w:pStyle w:val="Table"/>
              <w:keepNext/>
              <w:spacing w:before="40" w:after="40"/>
              <w:rPr>
                <w:color w:val="FFFFFF" w:themeColor="background1"/>
              </w:rPr>
            </w:pPr>
            <w:r>
              <w:rPr>
                <w:color w:val="FFFFFF" w:themeColor="background1"/>
              </w:rPr>
              <w:t>Outcome, Day 57</w:t>
            </w:r>
          </w:p>
        </w:tc>
        <w:tc>
          <w:tcPr>
            <w:tcW w:w="0" w:type="auto"/>
            <w:tcBorders>
              <w:top w:val="single" w:sz="4" w:space="0" w:color="FFFFFF" w:themeColor="background1"/>
            </w:tcBorders>
            <w:shd w:val="clear" w:color="auto" w:fill="000000" w:themeFill="text1"/>
            <w:vAlign w:val="bottom"/>
          </w:tcPr>
          <w:p w:rsidR="00EC19C4" w:rsidRDefault="00EC19C4" w:rsidP="00A5074A">
            <w:pPr>
              <w:pStyle w:val="Table"/>
              <w:keepNext/>
              <w:spacing w:before="40" w:after="40"/>
              <w:jc w:val="center"/>
              <w:rPr>
                <w:color w:val="FFFFFF" w:themeColor="background1"/>
              </w:rPr>
            </w:pPr>
            <w:r>
              <w:rPr>
                <w:color w:val="FFFFFF" w:themeColor="background1"/>
              </w:rPr>
              <w:t>IMG 0.015%</w:t>
            </w:r>
          </w:p>
          <w:p w:rsidR="00EC19C4" w:rsidRPr="00EC19C4" w:rsidRDefault="00EC19C4" w:rsidP="00A5074A">
            <w:pPr>
              <w:pStyle w:val="Table"/>
              <w:keepNext/>
              <w:spacing w:before="40" w:after="40"/>
              <w:jc w:val="center"/>
              <w:rPr>
                <w:color w:val="FFFFFF" w:themeColor="background1"/>
              </w:rPr>
            </w:pPr>
            <w:r>
              <w:rPr>
                <w:color w:val="FFFFFF" w:themeColor="background1"/>
              </w:rPr>
              <w:t>N=135</w:t>
            </w:r>
          </w:p>
        </w:tc>
        <w:tc>
          <w:tcPr>
            <w:tcW w:w="0" w:type="auto"/>
            <w:tcBorders>
              <w:top w:val="single" w:sz="4" w:space="0" w:color="FFFFFF" w:themeColor="background1"/>
            </w:tcBorders>
            <w:shd w:val="clear" w:color="auto" w:fill="000000" w:themeFill="text1"/>
            <w:vAlign w:val="bottom"/>
          </w:tcPr>
          <w:p w:rsidR="00EC19C4" w:rsidRDefault="00EC19C4" w:rsidP="00A5074A">
            <w:pPr>
              <w:pStyle w:val="Table"/>
              <w:keepNext/>
              <w:spacing w:before="40" w:after="40"/>
              <w:jc w:val="center"/>
              <w:rPr>
                <w:color w:val="FFFFFF" w:themeColor="background1"/>
              </w:rPr>
            </w:pPr>
            <w:r>
              <w:rPr>
                <w:color w:val="FFFFFF" w:themeColor="background1"/>
              </w:rPr>
              <w:t>VEH</w:t>
            </w:r>
          </w:p>
          <w:p w:rsidR="00EC19C4" w:rsidRPr="00EC19C4" w:rsidRDefault="00EC19C4" w:rsidP="00A5074A">
            <w:pPr>
              <w:pStyle w:val="Table"/>
              <w:keepNext/>
              <w:spacing w:before="40" w:after="40"/>
              <w:jc w:val="center"/>
              <w:rPr>
                <w:color w:val="FFFFFF" w:themeColor="background1"/>
              </w:rPr>
            </w:pPr>
            <w:r>
              <w:rPr>
                <w:color w:val="FFFFFF" w:themeColor="background1"/>
              </w:rPr>
              <w:t>N=134</w:t>
            </w:r>
          </w:p>
        </w:tc>
        <w:tc>
          <w:tcPr>
            <w:tcW w:w="0" w:type="auto"/>
            <w:shd w:val="clear" w:color="auto" w:fill="000000" w:themeFill="text1"/>
            <w:vAlign w:val="bottom"/>
          </w:tcPr>
          <w:p w:rsidR="00EC19C4" w:rsidRPr="00EC19C4" w:rsidRDefault="00EC19C4" w:rsidP="00A5074A">
            <w:pPr>
              <w:pStyle w:val="Table"/>
              <w:keepNext/>
              <w:spacing w:before="40" w:after="40"/>
              <w:jc w:val="center"/>
              <w:rPr>
                <w:color w:val="FFFFFF" w:themeColor="background1"/>
              </w:rPr>
            </w:pPr>
          </w:p>
        </w:tc>
        <w:tc>
          <w:tcPr>
            <w:tcW w:w="0" w:type="auto"/>
            <w:tcBorders>
              <w:top w:val="single" w:sz="4" w:space="0" w:color="FFFFFF" w:themeColor="background1"/>
            </w:tcBorders>
            <w:shd w:val="clear" w:color="auto" w:fill="000000" w:themeFill="text1"/>
            <w:vAlign w:val="bottom"/>
          </w:tcPr>
          <w:p w:rsidR="00EC19C4" w:rsidRDefault="00EC19C4" w:rsidP="00A5074A">
            <w:pPr>
              <w:pStyle w:val="Table"/>
              <w:keepNext/>
              <w:spacing w:before="40" w:after="40"/>
              <w:jc w:val="center"/>
              <w:rPr>
                <w:color w:val="FFFFFF" w:themeColor="background1"/>
              </w:rPr>
            </w:pPr>
            <w:r>
              <w:rPr>
                <w:color w:val="FFFFFF" w:themeColor="background1"/>
              </w:rPr>
              <w:t>IMG 0.015%</w:t>
            </w:r>
          </w:p>
          <w:p w:rsidR="00EC19C4" w:rsidRPr="00EC19C4" w:rsidRDefault="00EC19C4" w:rsidP="00A5074A">
            <w:pPr>
              <w:pStyle w:val="Table"/>
              <w:keepNext/>
              <w:spacing w:before="40" w:after="40"/>
              <w:jc w:val="center"/>
              <w:rPr>
                <w:color w:val="FFFFFF" w:themeColor="background1"/>
              </w:rPr>
            </w:pPr>
            <w:r>
              <w:rPr>
                <w:color w:val="FFFFFF" w:themeColor="background1"/>
              </w:rPr>
              <w:t>N=142</w:t>
            </w:r>
          </w:p>
        </w:tc>
        <w:tc>
          <w:tcPr>
            <w:tcW w:w="0" w:type="auto"/>
            <w:tcBorders>
              <w:top w:val="single" w:sz="4" w:space="0" w:color="FFFFFF" w:themeColor="background1"/>
            </w:tcBorders>
            <w:shd w:val="clear" w:color="auto" w:fill="000000" w:themeFill="text1"/>
            <w:vAlign w:val="bottom"/>
          </w:tcPr>
          <w:p w:rsidR="00EC19C4" w:rsidRDefault="00EC19C4" w:rsidP="00A5074A">
            <w:pPr>
              <w:pStyle w:val="Table"/>
              <w:keepNext/>
              <w:spacing w:before="40" w:after="40"/>
              <w:jc w:val="center"/>
              <w:rPr>
                <w:color w:val="FFFFFF" w:themeColor="background1"/>
              </w:rPr>
            </w:pPr>
            <w:r>
              <w:rPr>
                <w:color w:val="FFFFFF" w:themeColor="background1"/>
              </w:rPr>
              <w:t>VEH</w:t>
            </w:r>
          </w:p>
          <w:p w:rsidR="00EC19C4" w:rsidRPr="00EC19C4" w:rsidRDefault="00EC19C4" w:rsidP="00A5074A">
            <w:pPr>
              <w:pStyle w:val="Table"/>
              <w:keepNext/>
              <w:spacing w:before="40" w:after="40"/>
              <w:jc w:val="center"/>
              <w:rPr>
                <w:color w:val="FFFFFF" w:themeColor="background1"/>
              </w:rPr>
            </w:pPr>
            <w:r>
              <w:rPr>
                <w:color w:val="FFFFFF" w:themeColor="background1"/>
              </w:rPr>
              <w:t>N=136</w:t>
            </w:r>
          </w:p>
        </w:tc>
      </w:tr>
      <w:tr w:rsidR="00EC19C4" w:rsidRPr="00EC19C4" w:rsidTr="001E0675">
        <w:tc>
          <w:tcPr>
            <w:tcW w:w="0" w:type="auto"/>
          </w:tcPr>
          <w:p w:rsidR="00EC19C4" w:rsidRPr="00EC19C4" w:rsidRDefault="00EC19C4" w:rsidP="00A5074A">
            <w:pPr>
              <w:pStyle w:val="Table"/>
              <w:keepNext/>
              <w:spacing w:before="40" w:after="40"/>
              <w:rPr>
                <w:color w:val="auto"/>
              </w:rPr>
            </w:pPr>
            <w:r>
              <w:rPr>
                <w:color w:val="auto"/>
              </w:rPr>
              <w:t>Complete Clearance Rate, n (%)</w:t>
            </w:r>
          </w:p>
        </w:tc>
        <w:tc>
          <w:tcPr>
            <w:tcW w:w="0" w:type="auto"/>
          </w:tcPr>
          <w:p w:rsidR="00EC19C4" w:rsidRPr="00EC19C4" w:rsidRDefault="00EC19C4" w:rsidP="00A5074A">
            <w:pPr>
              <w:pStyle w:val="Table"/>
              <w:keepNext/>
              <w:spacing w:before="40" w:after="40"/>
              <w:jc w:val="right"/>
              <w:rPr>
                <w:color w:val="auto"/>
              </w:rPr>
            </w:pPr>
            <w:r>
              <w:rPr>
                <w:color w:val="auto"/>
              </w:rPr>
              <w:t>50 (37)</w:t>
            </w:r>
          </w:p>
        </w:tc>
        <w:tc>
          <w:tcPr>
            <w:tcW w:w="0" w:type="auto"/>
          </w:tcPr>
          <w:p w:rsidR="00EC19C4" w:rsidRPr="00EC19C4" w:rsidRDefault="00EC19C4" w:rsidP="00A5074A">
            <w:pPr>
              <w:pStyle w:val="Table"/>
              <w:keepNext/>
              <w:spacing w:before="40" w:after="40"/>
              <w:jc w:val="right"/>
              <w:rPr>
                <w:color w:val="auto"/>
              </w:rPr>
            </w:pPr>
            <w:r>
              <w:rPr>
                <w:color w:val="auto"/>
              </w:rPr>
              <w:t>3 (2)</w:t>
            </w:r>
          </w:p>
        </w:tc>
        <w:tc>
          <w:tcPr>
            <w:tcW w:w="0" w:type="auto"/>
          </w:tcPr>
          <w:p w:rsidR="00EC19C4" w:rsidRPr="00EC19C4" w:rsidRDefault="00EC19C4" w:rsidP="00A5074A">
            <w:pPr>
              <w:pStyle w:val="Table"/>
              <w:keepNext/>
              <w:spacing w:before="40" w:after="40"/>
              <w:rPr>
                <w:color w:val="auto"/>
              </w:rPr>
            </w:pPr>
          </w:p>
        </w:tc>
        <w:tc>
          <w:tcPr>
            <w:tcW w:w="0" w:type="auto"/>
          </w:tcPr>
          <w:p w:rsidR="00EC19C4" w:rsidRPr="00EC19C4" w:rsidRDefault="00EC19C4" w:rsidP="00A5074A">
            <w:pPr>
              <w:pStyle w:val="Table"/>
              <w:keepNext/>
              <w:spacing w:before="40" w:after="40"/>
              <w:jc w:val="right"/>
              <w:rPr>
                <w:color w:val="auto"/>
              </w:rPr>
            </w:pPr>
            <w:r>
              <w:rPr>
                <w:color w:val="auto"/>
              </w:rPr>
              <w:t>67 (47)</w:t>
            </w:r>
          </w:p>
        </w:tc>
        <w:tc>
          <w:tcPr>
            <w:tcW w:w="0" w:type="auto"/>
          </w:tcPr>
          <w:p w:rsidR="00EC19C4" w:rsidRPr="00EC19C4" w:rsidRDefault="00EC19C4" w:rsidP="00A5074A">
            <w:pPr>
              <w:pStyle w:val="Table"/>
              <w:keepNext/>
              <w:spacing w:before="40" w:after="40"/>
              <w:jc w:val="right"/>
              <w:rPr>
                <w:color w:val="auto"/>
              </w:rPr>
            </w:pPr>
            <w:r>
              <w:rPr>
                <w:color w:val="auto"/>
              </w:rPr>
              <w:t>7 (5)</w:t>
            </w:r>
          </w:p>
        </w:tc>
      </w:tr>
      <w:tr w:rsidR="00EC19C4" w:rsidRPr="00EC19C4" w:rsidTr="001E0675">
        <w:tc>
          <w:tcPr>
            <w:tcW w:w="0" w:type="auto"/>
          </w:tcPr>
          <w:p w:rsidR="00EC19C4" w:rsidRDefault="00EC19C4" w:rsidP="00A5074A">
            <w:pPr>
              <w:pStyle w:val="Table"/>
              <w:keepNext/>
              <w:spacing w:before="40" w:after="40"/>
              <w:ind w:left="180"/>
              <w:rPr>
                <w:color w:val="auto"/>
              </w:rPr>
            </w:pPr>
            <w:r>
              <w:rPr>
                <w:color w:val="auto"/>
              </w:rPr>
              <w:t>Scalp</w:t>
            </w:r>
          </w:p>
        </w:tc>
        <w:tc>
          <w:tcPr>
            <w:tcW w:w="0" w:type="auto"/>
          </w:tcPr>
          <w:p w:rsidR="00EC19C4" w:rsidRDefault="00EC19C4" w:rsidP="00A5074A">
            <w:pPr>
              <w:pStyle w:val="Table"/>
              <w:keepNext/>
              <w:spacing w:before="40" w:after="40"/>
              <w:jc w:val="right"/>
              <w:rPr>
                <w:color w:val="auto"/>
              </w:rPr>
            </w:pPr>
            <w:r>
              <w:rPr>
                <w:color w:val="auto"/>
              </w:rPr>
              <w:t>4/26 (15)</w:t>
            </w:r>
          </w:p>
        </w:tc>
        <w:tc>
          <w:tcPr>
            <w:tcW w:w="0" w:type="auto"/>
          </w:tcPr>
          <w:p w:rsidR="00EC19C4" w:rsidRDefault="00EC19C4" w:rsidP="00A5074A">
            <w:pPr>
              <w:pStyle w:val="Table"/>
              <w:keepNext/>
              <w:spacing w:before="40" w:after="40"/>
              <w:jc w:val="right"/>
              <w:rPr>
                <w:color w:val="auto"/>
              </w:rPr>
            </w:pPr>
            <w:r>
              <w:rPr>
                <w:color w:val="auto"/>
              </w:rPr>
              <w:t>0/25 (0)</w:t>
            </w:r>
          </w:p>
        </w:tc>
        <w:tc>
          <w:tcPr>
            <w:tcW w:w="0" w:type="auto"/>
          </w:tcPr>
          <w:p w:rsidR="00EC19C4" w:rsidRPr="00EC19C4" w:rsidRDefault="00EC19C4" w:rsidP="00A5074A">
            <w:pPr>
              <w:pStyle w:val="Table"/>
              <w:keepNext/>
              <w:spacing w:before="40" w:after="40"/>
              <w:rPr>
                <w:color w:val="auto"/>
              </w:rPr>
            </w:pPr>
          </w:p>
        </w:tc>
        <w:tc>
          <w:tcPr>
            <w:tcW w:w="0" w:type="auto"/>
          </w:tcPr>
          <w:p w:rsidR="00EC19C4" w:rsidRDefault="00EC19C4" w:rsidP="00A5074A">
            <w:pPr>
              <w:pStyle w:val="Table"/>
              <w:keepNext/>
              <w:spacing w:before="40" w:after="40"/>
              <w:jc w:val="right"/>
              <w:rPr>
                <w:color w:val="auto"/>
              </w:rPr>
            </w:pPr>
            <w:r>
              <w:rPr>
                <w:color w:val="auto"/>
              </w:rPr>
              <w:t>9/31 (29)</w:t>
            </w:r>
          </w:p>
        </w:tc>
        <w:tc>
          <w:tcPr>
            <w:tcW w:w="0" w:type="auto"/>
          </w:tcPr>
          <w:p w:rsidR="00EC19C4" w:rsidRDefault="00EC19C4" w:rsidP="00A5074A">
            <w:pPr>
              <w:pStyle w:val="Table"/>
              <w:keepNext/>
              <w:spacing w:before="40" w:after="40"/>
              <w:jc w:val="right"/>
              <w:rPr>
                <w:color w:val="auto"/>
              </w:rPr>
            </w:pPr>
            <w:r>
              <w:rPr>
                <w:color w:val="auto"/>
              </w:rPr>
              <w:t>1/25 (4)</w:t>
            </w:r>
          </w:p>
        </w:tc>
      </w:tr>
      <w:tr w:rsidR="00EC19C4" w:rsidRPr="00EC19C4" w:rsidTr="001E0675">
        <w:tc>
          <w:tcPr>
            <w:tcW w:w="0" w:type="auto"/>
          </w:tcPr>
          <w:p w:rsidR="00EC19C4" w:rsidRDefault="00EC19C4" w:rsidP="00A5074A">
            <w:pPr>
              <w:pStyle w:val="Table"/>
              <w:keepNext/>
              <w:spacing w:before="40" w:after="40"/>
              <w:ind w:left="180"/>
              <w:rPr>
                <w:color w:val="auto"/>
              </w:rPr>
            </w:pPr>
            <w:r>
              <w:rPr>
                <w:color w:val="auto"/>
              </w:rPr>
              <w:t>Face</w:t>
            </w:r>
          </w:p>
        </w:tc>
        <w:tc>
          <w:tcPr>
            <w:tcW w:w="0" w:type="auto"/>
          </w:tcPr>
          <w:p w:rsidR="00EC19C4" w:rsidRDefault="00EC19C4" w:rsidP="00A5074A">
            <w:pPr>
              <w:pStyle w:val="Table"/>
              <w:keepNext/>
              <w:spacing w:before="40" w:after="40"/>
              <w:jc w:val="right"/>
              <w:rPr>
                <w:color w:val="auto"/>
              </w:rPr>
            </w:pPr>
            <w:r>
              <w:rPr>
                <w:color w:val="auto"/>
              </w:rPr>
              <w:t>46/109 (42)</w:t>
            </w:r>
          </w:p>
        </w:tc>
        <w:tc>
          <w:tcPr>
            <w:tcW w:w="0" w:type="auto"/>
          </w:tcPr>
          <w:p w:rsidR="00EC19C4" w:rsidRDefault="00EC19C4" w:rsidP="00A5074A">
            <w:pPr>
              <w:pStyle w:val="Table"/>
              <w:keepNext/>
              <w:spacing w:before="40" w:after="40"/>
              <w:jc w:val="right"/>
              <w:rPr>
                <w:color w:val="auto"/>
              </w:rPr>
            </w:pPr>
            <w:r>
              <w:rPr>
                <w:color w:val="auto"/>
              </w:rPr>
              <w:t>3/109 (2)</w:t>
            </w:r>
          </w:p>
        </w:tc>
        <w:tc>
          <w:tcPr>
            <w:tcW w:w="0" w:type="auto"/>
          </w:tcPr>
          <w:p w:rsidR="00EC19C4" w:rsidRPr="00EC19C4" w:rsidRDefault="00EC19C4" w:rsidP="00A5074A">
            <w:pPr>
              <w:pStyle w:val="Table"/>
              <w:keepNext/>
              <w:spacing w:before="40" w:after="40"/>
              <w:rPr>
                <w:color w:val="auto"/>
              </w:rPr>
            </w:pPr>
          </w:p>
        </w:tc>
        <w:tc>
          <w:tcPr>
            <w:tcW w:w="0" w:type="auto"/>
          </w:tcPr>
          <w:p w:rsidR="00EC19C4" w:rsidRDefault="00EC19C4" w:rsidP="00A5074A">
            <w:pPr>
              <w:pStyle w:val="Table"/>
              <w:keepNext/>
              <w:spacing w:before="40" w:after="40"/>
              <w:jc w:val="right"/>
              <w:rPr>
                <w:color w:val="auto"/>
              </w:rPr>
            </w:pPr>
            <w:r>
              <w:rPr>
                <w:color w:val="auto"/>
              </w:rPr>
              <w:t>58/111 (52)</w:t>
            </w:r>
          </w:p>
        </w:tc>
        <w:tc>
          <w:tcPr>
            <w:tcW w:w="0" w:type="auto"/>
          </w:tcPr>
          <w:p w:rsidR="00EC19C4" w:rsidRDefault="00EC19C4" w:rsidP="00A5074A">
            <w:pPr>
              <w:pStyle w:val="Table"/>
              <w:keepNext/>
              <w:spacing w:before="40" w:after="40"/>
              <w:jc w:val="right"/>
              <w:rPr>
                <w:color w:val="auto"/>
              </w:rPr>
            </w:pPr>
            <w:r>
              <w:rPr>
                <w:color w:val="auto"/>
              </w:rPr>
              <w:t>6/111 (5)</w:t>
            </w:r>
          </w:p>
        </w:tc>
      </w:tr>
      <w:tr w:rsidR="00EC19C4" w:rsidTr="001E0675">
        <w:tc>
          <w:tcPr>
            <w:tcW w:w="0" w:type="auto"/>
          </w:tcPr>
          <w:p w:rsidR="00EC19C4" w:rsidRDefault="00EC19C4" w:rsidP="00A5074A">
            <w:pPr>
              <w:pStyle w:val="Table"/>
              <w:spacing w:before="40" w:after="40"/>
            </w:pPr>
            <w:r>
              <w:t>Partial Clearance Rate, n (%)</w:t>
            </w:r>
          </w:p>
        </w:tc>
        <w:tc>
          <w:tcPr>
            <w:tcW w:w="0" w:type="auto"/>
          </w:tcPr>
          <w:p w:rsidR="00EC19C4" w:rsidRDefault="00EC19C4" w:rsidP="00A5074A">
            <w:pPr>
              <w:pStyle w:val="Table"/>
              <w:spacing w:before="40" w:after="40"/>
              <w:jc w:val="right"/>
            </w:pPr>
            <w:r>
              <w:t>81 (60)</w:t>
            </w:r>
          </w:p>
        </w:tc>
        <w:tc>
          <w:tcPr>
            <w:tcW w:w="0" w:type="auto"/>
          </w:tcPr>
          <w:p w:rsidR="00EC19C4" w:rsidRDefault="00EC19C4" w:rsidP="00A5074A">
            <w:pPr>
              <w:pStyle w:val="Table"/>
              <w:spacing w:before="40" w:after="40"/>
              <w:jc w:val="right"/>
            </w:pPr>
            <w:r>
              <w:t>9 (7)</w:t>
            </w:r>
          </w:p>
        </w:tc>
        <w:tc>
          <w:tcPr>
            <w:tcW w:w="0" w:type="auto"/>
          </w:tcPr>
          <w:p w:rsidR="00EC19C4" w:rsidRDefault="00EC19C4" w:rsidP="00A5074A">
            <w:pPr>
              <w:pStyle w:val="Table"/>
              <w:spacing w:before="40" w:after="40"/>
            </w:pPr>
          </w:p>
        </w:tc>
        <w:tc>
          <w:tcPr>
            <w:tcW w:w="0" w:type="auto"/>
          </w:tcPr>
          <w:p w:rsidR="00EC19C4" w:rsidRDefault="00EC19C4" w:rsidP="00A5074A">
            <w:pPr>
              <w:pStyle w:val="Table"/>
              <w:spacing w:before="40" w:after="40"/>
              <w:jc w:val="right"/>
            </w:pPr>
            <w:r>
              <w:t>96 (68)</w:t>
            </w:r>
          </w:p>
        </w:tc>
        <w:tc>
          <w:tcPr>
            <w:tcW w:w="0" w:type="auto"/>
          </w:tcPr>
          <w:p w:rsidR="00EC19C4" w:rsidRDefault="00EC19C4" w:rsidP="00A5074A">
            <w:pPr>
              <w:pStyle w:val="Table"/>
              <w:spacing w:before="40" w:after="40"/>
              <w:jc w:val="right"/>
            </w:pPr>
            <w:r>
              <w:t>11 (8)</w:t>
            </w:r>
          </w:p>
        </w:tc>
      </w:tr>
    </w:tbl>
    <w:p w:rsidR="005B213B" w:rsidRDefault="00C10DFD" w:rsidP="00A5074A">
      <w:pPr>
        <w:pStyle w:val="TableFootnote"/>
        <w:spacing w:before="40" w:after="40"/>
      </w:pPr>
      <w:proofErr w:type="gramStart"/>
      <w:r>
        <w:t xml:space="preserve">IMG, </w:t>
      </w:r>
      <w:proofErr w:type="spellStart"/>
      <w:r>
        <w:t>Ingenol</w:t>
      </w:r>
      <w:proofErr w:type="spellEnd"/>
      <w:r>
        <w:t xml:space="preserve"> </w:t>
      </w:r>
      <w:proofErr w:type="spellStart"/>
      <w:r>
        <w:t>mebutate</w:t>
      </w:r>
      <w:proofErr w:type="spellEnd"/>
      <w:r>
        <w:t xml:space="preserve"> gel.</w:t>
      </w:r>
      <w:proofErr w:type="gramEnd"/>
      <w:r>
        <w:t xml:space="preserve"> VEH, Vehicle</w:t>
      </w:r>
    </w:p>
    <w:p w:rsidR="00C10DFD" w:rsidRDefault="00C10DFD" w:rsidP="009E4E80"/>
    <w:p w:rsidR="001E0675" w:rsidRDefault="001E0675" w:rsidP="00A5074A">
      <w:pPr>
        <w:pStyle w:val="Caption"/>
        <w:spacing w:before="40" w:after="40"/>
      </w:pPr>
      <w:r>
        <w:t xml:space="preserve">Table </w:t>
      </w:r>
      <w:r w:rsidR="00017C36">
        <w:fldChar w:fldCharType="begin"/>
      </w:r>
      <w:r w:rsidR="00017C36">
        <w:instrText xml:space="preserve"> SEQ Table \* ARABIC </w:instrText>
      </w:r>
      <w:r w:rsidR="00017C36">
        <w:fldChar w:fldCharType="separate"/>
      </w:r>
      <w:r w:rsidR="00D93D73">
        <w:rPr>
          <w:noProof/>
        </w:rPr>
        <w:t>5</w:t>
      </w:r>
      <w:r w:rsidR="00017C36">
        <w:rPr>
          <w:noProof/>
        </w:rPr>
        <w:fldChar w:fldCharType="end"/>
      </w:r>
      <w:r>
        <w:tab/>
        <w:t>Results of Clinical Trials, AK of Trunk or Extremities</w:t>
      </w:r>
    </w:p>
    <w:tbl>
      <w:tblPr>
        <w:tblStyle w:val="TableColumns4"/>
        <w:tblW w:w="0" w:type="auto"/>
        <w:tblLook w:val="04A0" w:firstRow="1" w:lastRow="0" w:firstColumn="1" w:lastColumn="0" w:noHBand="0" w:noVBand="1"/>
      </w:tblPr>
      <w:tblGrid>
        <w:gridCol w:w="2682"/>
        <w:gridCol w:w="1017"/>
        <w:gridCol w:w="857"/>
        <w:gridCol w:w="222"/>
        <w:gridCol w:w="1017"/>
        <w:gridCol w:w="768"/>
      </w:tblGrid>
      <w:tr w:rsidR="001E0675" w:rsidRPr="00EC19C4" w:rsidTr="00E352E7">
        <w:trPr>
          <w:cnfStyle w:val="100000000000" w:firstRow="1" w:lastRow="0" w:firstColumn="0" w:lastColumn="0" w:oddVBand="0" w:evenVBand="0" w:oddHBand="0" w:evenHBand="0" w:firstRowFirstColumn="0" w:firstRowLastColumn="0" w:lastRowFirstColumn="0" w:lastRowLastColumn="0"/>
        </w:trPr>
        <w:tc>
          <w:tcPr>
            <w:tcW w:w="0" w:type="auto"/>
          </w:tcPr>
          <w:p w:rsidR="001E0675" w:rsidRPr="00EC19C4" w:rsidRDefault="001E0675" w:rsidP="00A5074A">
            <w:pPr>
              <w:pStyle w:val="Table"/>
              <w:keepNext/>
              <w:spacing w:before="40" w:after="40"/>
              <w:rPr>
                <w:color w:val="FFFFFF" w:themeColor="background1"/>
              </w:rPr>
            </w:pPr>
          </w:p>
        </w:tc>
        <w:tc>
          <w:tcPr>
            <w:tcW w:w="0" w:type="auto"/>
            <w:gridSpan w:val="2"/>
            <w:tcBorders>
              <w:bottom w:val="single" w:sz="4" w:space="0" w:color="FFFFFF" w:themeColor="background1"/>
            </w:tcBorders>
            <w:vAlign w:val="bottom"/>
          </w:tcPr>
          <w:p w:rsidR="001E0675" w:rsidRPr="00EC19C4" w:rsidRDefault="001E0675" w:rsidP="00A5074A">
            <w:pPr>
              <w:pStyle w:val="Table"/>
              <w:keepNext/>
              <w:spacing w:before="40" w:after="40"/>
              <w:jc w:val="center"/>
              <w:rPr>
                <w:color w:val="FFFFFF" w:themeColor="background1"/>
              </w:rPr>
            </w:pPr>
            <w:r>
              <w:rPr>
                <w:color w:val="FFFFFF" w:themeColor="background1"/>
              </w:rPr>
              <w:t>STUDY 3</w:t>
            </w:r>
          </w:p>
        </w:tc>
        <w:tc>
          <w:tcPr>
            <w:tcW w:w="0" w:type="auto"/>
          </w:tcPr>
          <w:p w:rsidR="001E0675" w:rsidRPr="00EC19C4" w:rsidRDefault="001E0675" w:rsidP="00A5074A">
            <w:pPr>
              <w:pStyle w:val="Table"/>
              <w:keepNext/>
              <w:spacing w:before="40" w:after="40"/>
              <w:rPr>
                <w:color w:val="FFFFFF" w:themeColor="background1"/>
              </w:rPr>
            </w:pPr>
          </w:p>
        </w:tc>
        <w:tc>
          <w:tcPr>
            <w:tcW w:w="0" w:type="auto"/>
            <w:gridSpan w:val="2"/>
            <w:tcBorders>
              <w:bottom w:val="single" w:sz="4" w:space="0" w:color="FFFFFF" w:themeColor="background1"/>
            </w:tcBorders>
            <w:vAlign w:val="bottom"/>
          </w:tcPr>
          <w:p w:rsidR="001E0675" w:rsidRPr="00EC19C4" w:rsidRDefault="001E0675" w:rsidP="00A5074A">
            <w:pPr>
              <w:pStyle w:val="Table"/>
              <w:keepNext/>
              <w:spacing w:before="40" w:after="40"/>
              <w:jc w:val="center"/>
              <w:rPr>
                <w:color w:val="FFFFFF" w:themeColor="background1"/>
              </w:rPr>
            </w:pPr>
            <w:r>
              <w:rPr>
                <w:color w:val="FFFFFF" w:themeColor="background1"/>
              </w:rPr>
              <w:t>STUDY 4</w:t>
            </w:r>
          </w:p>
        </w:tc>
      </w:tr>
      <w:tr w:rsidR="001E0675" w:rsidRPr="00EC19C4" w:rsidTr="00E352E7">
        <w:tc>
          <w:tcPr>
            <w:tcW w:w="0" w:type="auto"/>
            <w:shd w:val="clear" w:color="auto" w:fill="000000" w:themeFill="text1"/>
            <w:vAlign w:val="bottom"/>
          </w:tcPr>
          <w:p w:rsidR="001E0675" w:rsidRPr="00EC19C4" w:rsidRDefault="001E0675" w:rsidP="00A5074A">
            <w:pPr>
              <w:pStyle w:val="Table"/>
              <w:keepNext/>
              <w:spacing w:before="40" w:after="40"/>
              <w:rPr>
                <w:color w:val="FFFFFF" w:themeColor="background1"/>
              </w:rPr>
            </w:pPr>
            <w:r>
              <w:rPr>
                <w:color w:val="FFFFFF" w:themeColor="background1"/>
              </w:rPr>
              <w:t>Outcome, Day 57</w:t>
            </w:r>
          </w:p>
        </w:tc>
        <w:tc>
          <w:tcPr>
            <w:tcW w:w="0" w:type="auto"/>
            <w:tcBorders>
              <w:top w:val="single" w:sz="4" w:space="0" w:color="FFFFFF" w:themeColor="background1"/>
            </w:tcBorders>
            <w:shd w:val="clear" w:color="auto" w:fill="000000" w:themeFill="text1"/>
            <w:vAlign w:val="bottom"/>
          </w:tcPr>
          <w:p w:rsidR="001E0675" w:rsidRDefault="001E0675" w:rsidP="00A5074A">
            <w:pPr>
              <w:pStyle w:val="Table"/>
              <w:keepNext/>
              <w:spacing w:before="40" w:after="40"/>
              <w:jc w:val="center"/>
              <w:rPr>
                <w:color w:val="FFFFFF" w:themeColor="background1"/>
              </w:rPr>
            </w:pPr>
            <w:r>
              <w:rPr>
                <w:color w:val="FFFFFF" w:themeColor="background1"/>
              </w:rPr>
              <w:t>IMG 0.05%</w:t>
            </w:r>
          </w:p>
          <w:p w:rsidR="001E0675" w:rsidRPr="00EC19C4" w:rsidRDefault="001E0675" w:rsidP="00A5074A">
            <w:pPr>
              <w:pStyle w:val="Table"/>
              <w:keepNext/>
              <w:spacing w:before="40" w:after="40"/>
              <w:jc w:val="center"/>
              <w:rPr>
                <w:color w:val="FFFFFF" w:themeColor="background1"/>
              </w:rPr>
            </w:pPr>
            <w:r>
              <w:rPr>
                <w:color w:val="FFFFFF" w:themeColor="background1"/>
              </w:rPr>
              <w:t>N=126</w:t>
            </w:r>
          </w:p>
        </w:tc>
        <w:tc>
          <w:tcPr>
            <w:tcW w:w="0" w:type="auto"/>
            <w:tcBorders>
              <w:top w:val="single" w:sz="4" w:space="0" w:color="FFFFFF" w:themeColor="background1"/>
            </w:tcBorders>
            <w:shd w:val="clear" w:color="auto" w:fill="000000" w:themeFill="text1"/>
            <w:vAlign w:val="bottom"/>
          </w:tcPr>
          <w:p w:rsidR="001E0675" w:rsidRDefault="001E0675" w:rsidP="00A5074A">
            <w:pPr>
              <w:pStyle w:val="Table"/>
              <w:keepNext/>
              <w:spacing w:before="40" w:after="40"/>
              <w:jc w:val="center"/>
              <w:rPr>
                <w:color w:val="FFFFFF" w:themeColor="background1"/>
              </w:rPr>
            </w:pPr>
            <w:r>
              <w:rPr>
                <w:color w:val="FFFFFF" w:themeColor="background1"/>
              </w:rPr>
              <w:t>VEH</w:t>
            </w:r>
          </w:p>
          <w:p w:rsidR="001E0675" w:rsidRPr="00EC19C4" w:rsidRDefault="001E0675" w:rsidP="00A5074A">
            <w:pPr>
              <w:pStyle w:val="Table"/>
              <w:keepNext/>
              <w:spacing w:before="40" w:after="40"/>
              <w:jc w:val="center"/>
              <w:rPr>
                <w:color w:val="FFFFFF" w:themeColor="background1"/>
              </w:rPr>
            </w:pPr>
            <w:r>
              <w:rPr>
                <w:color w:val="FFFFFF" w:themeColor="background1"/>
              </w:rPr>
              <w:t>N=129</w:t>
            </w:r>
          </w:p>
        </w:tc>
        <w:tc>
          <w:tcPr>
            <w:tcW w:w="0" w:type="auto"/>
            <w:shd w:val="clear" w:color="auto" w:fill="000000" w:themeFill="text1"/>
            <w:vAlign w:val="bottom"/>
          </w:tcPr>
          <w:p w:rsidR="001E0675" w:rsidRPr="00EC19C4" w:rsidRDefault="001E0675" w:rsidP="00A5074A">
            <w:pPr>
              <w:pStyle w:val="Table"/>
              <w:keepNext/>
              <w:spacing w:before="40" w:after="40"/>
              <w:jc w:val="center"/>
              <w:rPr>
                <w:color w:val="FFFFFF" w:themeColor="background1"/>
              </w:rPr>
            </w:pPr>
          </w:p>
        </w:tc>
        <w:tc>
          <w:tcPr>
            <w:tcW w:w="0" w:type="auto"/>
            <w:tcBorders>
              <w:top w:val="single" w:sz="4" w:space="0" w:color="FFFFFF" w:themeColor="background1"/>
            </w:tcBorders>
            <w:shd w:val="clear" w:color="auto" w:fill="000000" w:themeFill="text1"/>
            <w:vAlign w:val="bottom"/>
          </w:tcPr>
          <w:p w:rsidR="001E0675" w:rsidRDefault="001E0675" w:rsidP="00A5074A">
            <w:pPr>
              <w:pStyle w:val="Table"/>
              <w:keepNext/>
              <w:spacing w:before="40" w:after="40"/>
              <w:jc w:val="center"/>
              <w:rPr>
                <w:color w:val="FFFFFF" w:themeColor="background1"/>
              </w:rPr>
            </w:pPr>
            <w:r>
              <w:rPr>
                <w:color w:val="FFFFFF" w:themeColor="background1"/>
              </w:rPr>
              <w:t>IMG 0.05%</w:t>
            </w:r>
          </w:p>
          <w:p w:rsidR="001E0675" w:rsidRPr="00EC19C4" w:rsidRDefault="001E0675" w:rsidP="00A5074A">
            <w:pPr>
              <w:pStyle w:val="Table"/>
              <w:keepNext/>
              <w:spacing w:before="40" w:after="40"/>
              <w:jc w:val="center"/>
              <w:rPr>
                <w:color w:val="FFFFFF" w:themeColor="background1"/>
              </w:rPr>
            </w:pPr>
            <w:r>
              <w:rPr>
                <w:color w:val="FFFFFF" w:themeColor="background1"/>
              </w:rPr>
              <w:t>N=100</w:t>
            </w:r>
          </w:p>
        </w:tc>
        <w:tc>
          <w:tcPr>
            <w:tcW w:w="0" w:type="auto"/>
            <w:tcBorders>
              <w:top w:val="single" w:sz="4" w:space="0" w:color="FFFFFF" w:themeColor="background1"/>
            </w:tcBorders>
            <w:shd w:val="clear" w:color="auto" w:fill="000000" w:themeFill="text1"/>
            <w:vAlign w:val="bottom"/>
          </w:tcPr>
          <w:p w:rsidR="001E0675" w:rsidRDefault="001E0675" w:rsidP="00A5074A">
            <w:pPr>
              <w:pStyle w:val="Table"/>
              <w:keepNext/>
              <w:spacing w:before="40" w:after="40"/>
              <w:jc w:val="center"/>
              <w:rPr>
                <w:color w:val="FFFFFF" w:themeColor="background1"/>
              </w:rPr>
            </w:pPr>
            <w:r>
              <w:rPr>
                <w:color w:val="FFFFFF" w:themeColor="background1"/>
              </w:rPr>
              <w:t>VEH</w:t>
            </w:r>
          </w:p>
          <w:p w:rsidR="001E0675" w:rsidRPr="00EC19C4" w:rsidRDefault="001E0675" w:rsidP="00A5074A">
            <w:pPr>
              <w:pStyle w:val="Table"/>
              <w:keepNext/>
              <w:spacing w:before="40" w:after="40"/>
              <w:jc w:val="center"/>
              <w:rPr>
                <w:color w:val="FFFFFF" w:themeColor="background1"/>
              </w:rPr>
            </w:pPr>
            <w:r>
              <w:rPr>
                <w:color w:val="FFFFFF" w:themeColor="background1"/>
              </w:rPr>
              <w:t>N=103</w:t>
            </w:r>
          </w:p>
        </w:tc>
      </w:tr>
      <w:tr w:rsidR="001E0675" w:rsidRPr="00EC19C4" w:rsidTr="00E352E7">
        <w:tc>
          <w:tcPr>
            <w:tcW w:w="0" w:type="auto"/>
          </w:tcPr>
          <w:p w:rsidR="001E0675" w:rsidRPr="00EC19C4" w:rsidRDefault="001E0675" w:rsidP="00A5074A">
            <w:pPr>
              <w:pStyle w:val="Table"/>
              <w:keepNext/>
              <w:spacing w:before="40" w:after="40"/>
              <w:rPr>
                <w:color w:val="auto"/>
              </w:rPr>
            </w:pPr>
            <w:r>
              <w:rPr>
                <w:color w:val="auto"/>
              </w:rPr>
              <w:t>Complete Clearance Rate, n (%)</w:t>
            </w:r>
          </w:p>
        </w:tc>
        <w:tc>
          <w:tcPr>
            <w:tcW w:w="0" w:type="auto"/>
          </w:tcPr>
          <w:p w:rsidR="001E0675" w:rsidRPr="00EC19C4" w:rsidRDefault="001E0675" w:rsidP="00A5074A">
            <w:pPr>
              <w:pStyle w:val="Table"/>
              <w:keepNext/>
              <w:spacing w:before="40" w:after="40"/>
              <w:jc w:val="right"/>
              <w:rPr>
                <w:color w:val="auto"/>
              </w:rPr>
            </w:pPr>
            <w:r>
              <w:rPr>
                <w:color w:val="auto"/>
              </w:rPr>
              <w:t>35 (28)</w:t>
            </w:r>
          </w:p>
        </w:tc>
        <w:tc>
          <w:tcPr>
            <w:tcW w:w="0" w:type="auto"/>
          </w:tcPr>
          <w:p w:rsidR="001E0675" w:rsidRPr="00EC19C4" w:rsidRDefault="001E0675" w:rsidP="00A5074A">
            <w:pPr>
              <w:pStyle w:val="Table"/>
              <w:keepNext/>
              <w:spacing w:before="40" w:after="40"/>
              <w:jc w:val="right"/>
              <w:rPr>
                <w:color w:val="auto"/>
              </w:rPr>
            </w:pPr>
            <w:r>
              <w:rPr>
                <w:color w:val="auto"/>
              </w:rPr>
              <w:t>6 (5)</w:t>
            </w:r>
          </w:p>
        </w:tc>
        <w:tc>
          <w:tcPr>
            <w:tcW w:w="0" w:type="auto"/>
          </w:tcPr>
          <w:p w:rsidR="001E0675" w:rsidRPr="00EC19C4" w:rsidRDefault="001E0675" w:rsidP="00A5074A">
            <w:pPr>
              <w:pStyle w:val="Table"/>
              <w:keepNext/>
              <w:spacing w:before="40" w:after="40"/>
              <w:rPr>
                <w:color w:val="auto"/>
              </w:rPr>
            </w:pPr>
          </w:p>
        </w:tc>
        <w:tc>
          <w:tcPr>
            <w:tcW w:w="0" w:type="auto"/>
          </w:tcPr>
          <w:p w:rsidR="001E0675" w:rsidRPr="00EC19C4" w:rsidRDefault="001E0675" w:rsidP="00A5074A">
            <w:pPr>
              <w:pStyle w:val="Table"/>
              <w:keepNext/>
              <w:spacing w:before="40" w:after="40"/>
              <w:jc w:val="right"/>
              <w:rPr>
                <w:color w:val="auto"/>
              </w:rPr>
            </w:pPr>
            <w:r>
              <w:rPr>
                <w:color w:val="auto"/>
              </w:rPr>
              <w:t>42 (42)</w:t>
            </w:r>
          </w:p>
        </w:tc>
        <w:tc>
          <w:tcPr>
            <w:tcW w:w="0" w:type="auto"/>
          </w:tcPr>
          <w:p w:rsidR="001E0675" w:rsidRPr="00EC19C4" w:rsidRDefault="001E0675" w:rsidP="00A5074A">
            <w:pPr>
              <w:pStyle w:val="Table"/>
              <w:keepNext/>
              <w:spacing w:before="40" w:after="40"/>
              <w:jc w:val="right"/>
              <w:rPr>
                <w:color w:val="auto"/>
              </w:rPr>
            </w:pPr>
            <w:r>
              <w:rPr>
                <w:color w:val="auto"/>
              </w:rPr>
              <w:t>5 (5)</w:t>
            </w:r>
          </w:p>
        </w:tc>
      </w:tr>
      <w:tr w:rsidR="001E0675" w:rsidRPr="00EC19C4" w:rsidTr="00E352E7">
        <w:tc>
          <w:tcPr>
            <w:tcW w:w="0" w:type="auto"/>
          </w:tcPr>
          <w:p w:rsidR="001E0675" w:rsidRDefault="001E0675" w:rsidP="00A5074A">
            <w:pPr>
              <w:pStyle w:val="Table"/>
              <w:keepNext/>
              <w:spacing w:before="40" w:after="40"/>
              <w:ind w:left="180"/>
              <w:rPr>
                <w:color w:val="auto"/>
              </w:rPr>
            </w:pPr>
            <w:r>
              <w:rPr>
                <w:color w:val="auto"/>
              </w:rPr>
              <w:t>Arm</w:t>
            </w:r>
          </w:p>
        </w:tc>
        <w:tc>
          <w:tcPr>
            <w:tcW w:w="0" w:type="auto"/>
          </w:tcPr>
          <w:p w:rsidR="001E0675" w:rsidRDefault="001E0675" w:rsidP="00A5074A">
            <w:pPr>
              <w:pStyle w:val="Table"/>
              <w:keepNext/>
              <w:spacing w:before="40" w:after="40"/>
              <w:jc w:val="right"/>
              <w:rPr>
                <w:color w:val="auto"/>
              </w:rPr>
            </w:pPr>
            <w:r>
              <w:rPr>
                <w:color w:val="auto"/>
              </w:rPr>
              <w:t>22/84 (26)</w:t>
            </w:r>
          </w:p>
        </w:tc>
        <w:tc>
          <w:tcPr>
            <w:tcW w:w="0" w:type="auto"/>
          </w:tcPr>
          <w:p w:rsidR="001E0675" w:rsidRDefault="001E0675" w:rsidP="00A5074A">
            <w:pPr>
              <w:pStyle w:val="Table"/>
              <w:keepNext/>
              <w:spacing w:before="40" w:after="40"/>
              <w:jc w:val="right"/>
              <w:rPr>
                <w:color w:val="auto"/>
              </w:rPr>
            </w:pPr>
            <w:r>
              <w:rPr>
                <w:color w:val="auto"/>
              </w:rPr>
              <w:t>4/82 (5)</w:t>
            </w:r>
          </w:p>
        </w:tc>
        <w:tc>
          <w:tcPr>
            <w:tcW w:w="0" w:type="auto"/>
          </w:tcPr>
          <w:p w:rsidR="001E0675" w:rsidRPr="00EC19C4" w:rsidRDefault="001E0675" w:rsidP="00A5074A">
            <w:pPr>
              <w:pStyle w:val="Table"/>
              <w:keepNext/>
              <w:spacing w:before="40" w:after="40"/>
              <w:rPr>
                <w:color w:val="auto"/>
              </w:rPr>
            </w:pPr>
          </w:p>
        </w:tc>
        <w:tc>
          <w:tcPr>
            <w:tcW w:w="0" w:type="auto"/>
          </w:tcPr>
          <w:p w:rsidR="001E0675" w:rsidRDefault="001E0675" w:rsidP="00A5074A">
            <w:pPr>
              <w:pStyle w:val="Table"/>
              <w:keepNext/>
              <w:spacing w:before="40" w:after="40"/>
              <w:jc w:val="right"/>
              <w:rPr>
                <w:color w:val="auto"/>
              </w:rPr>
            </w:pPr>
            <w:r>
              <w:rPr>
                <w:color w:val="auto"/>
              </w:rPr>
              <w:t>27/59 (46)</w:t>
            </w:r>
          </w:p>
        </w:tc>
        <w:tc>
          <w:tcPr>
            <w:tcW w:w="0" w:type="auto"/>
          </w:tcPr>
          <w:p w:rsidR="001E0675" w:rsidRDefault="001E0675" w:rsidP="00A5074A">
            <w:pPr>
              <w:pStyle w:val="Table"/>
              <w:keepNext/>
              <w:spacing w:before="40" w:after="40"/>
              <w:jc w:val="right"/>
              <w:rPr>
                <w:color w:val="auto"/>
              </w:rPr>
            </w:pPr>
            <w:r>
              <w:rPr>
                <w:color w:val="auto"/>
              </w:rPr>
              <w:t>3/67 (5)</w:t>
            </w:r>
          </w:p>
        </w:tc>
      </w:tr>
      <w:tr w:rsidR="001E0675" w:rsidRPr="00EC19C4" w:rsidTr="00E352E7">
        <w:tc>
          <w:tcPr>
            <w:tcW w:w="0" w:type="auto"/>
          </w:tcPr>
          <w:p w:rsidR="001E0675" w:rsidRDefault="001E0675" w:rsidP="00A5074A">
            <w:pPr>
              <w:pStyle w:val="Table"/>
              <w:keepNext/>
              <w:spacing w:before="40" w:after="40"/>
              <w:ind w:left="180"/>
              <w:rPr>
                <w:color w:val="auto"/>
              </w:rPr>
            </w:pPr>
            <w:r>
              <w:rPr>
                <w:color w:val="auto"/>
              </w:rPr>
              <w:t>Back of Hand</w:t>
            </w:r>
          </w:p>
        </w:tc>
        <w:tc>
          <w:tcPr>
            <w:tcW w:w="0" w:type="auto"/>
          </w:tcPr>
          <w:p w:rsidR="001E0675" w:rsidRDefault="001E0675" w:rsidP="00A5074A">
            <w:pPr>
              <w:pStyle w:val="Table"/>
              <w:keepNext/>
              <w:spacing w:before="40" w:after="40"/>
              <w:jc w:val="right"/>
              <w:rPr>
                <w:color w:val="auto"/>
              </w:rPr>
            </w:pPr>
            <w:r>
              <w:rPr>
                <w:color w:val="auto"/>
              </w:rPr>
              <w:t>4/25 (16)</w:t>
            </w:r>
          </w:p>
        </w:tc>
        <w:tc>
          <w:tcPr>
            <w:tcW w:w="0" w:type="auto"/>
          </w:tcPr>
          <w:p w:rsidR="001E0675" w:rsidRDefault="001E0675" w:rsidP="00A5074A">
            <w:pPr>
              <w:pStyle w:val="Table"/>
              <w:keepNext/>
              <w:spacing w:before="40" w:after="40"/>
              <w:jc w:val="right"/>
              <w:rPr>
                <w:color w:val="auto"/>
              </w:rPr>
            </w:pPr>
            <w:r>
              <w:rPr>
                <w:color w:val="auto"/>
              </w:rPr>
              <w:t>0/29 (0)</w:t>
            </w:r>
          </w:p>
        </w:tc>
        <w:tc>
          <w:tcPr>
            <w:tcW w:w="0" w:type="auto"/>
          </w:tcPr>
          <w:p w:rsidR="001E0675" w:rsidRPr="00EC19C4" w:rsidRDefault="001E0675" w:rsidP="00A5074A">
            <w:pPr>
              <w:pStyle w:val="Table"/>
              <w:keepNext/>
              <w:spacing w:before="40" w:after="40"/>
              <w:rPr>
                <w:color w:val="auto"/>
              </w:rPr>
            </w:pPr>
          </w:p>
        </w:tc>
        <w:tc>
          <w:tcPr>
            <w:tcW w:w="0" w:type="auto"/>
          </w:tcPr>
          <w:p w:rsidR="001E0675" w:rsidRDefault="001E0675" w:rsidP="00A5074A">
            <w:pPr>
              <w:pStyle w:val="Table"/>
              <w:keepNext/>
              <w:spacing w:before="40" w:after="40"/>
              <w:jc w:val="right"/>
              <w:rPr>
                <w:color w:val="auto"/>
              </w:rPr>
            </w:pPr>
            <w:r>
              <w:rPr>
                <w:color w:val="auto"/>
              </w:rPr>
              <w:t>6/28 (21)</w:t>
            </w:r>
          </w:p>
        </w:tc>
        <w:tc>
          <w:tcPr>
            <w:tcW w:w="0" w:type="auto"/>
          </w:tcPr>
          <w:p w:rsidR="001E0675" w:rsidRDefault="001E0675" w:rsidP="00A5074A">
            <w:pPr>
              <w:pStyle w:val="Table"/>
              <w:keepNext/>
              <w:spacing w:before="40" w:after="40"/>
              <w:jc w:val="right"/>
              <w:rPr>
                <w:color w:val="auto"/>
              </w:rPr>
            </w:pPr>
            <w:r>
              <w:rPr>
                <w:color w:val="auto"/>
              </w:rPr>
              <w:t>0/27 (0)</w:t>
            </w:r>
          </w:p>
        </w:tc>
      </w:tr>
      <w:tr w:rsidR="001E0675" w:rsidRPr="00EC19C4" w:rsidTr="00E352E7">
        <w:tc>
          <w:tcPr>
            <w:tcW w:w="0" w:type="auto"/>
          </w:tcPr>
          <w:p w:rsidR="001E0675" w:rsidRDefault="001E0675" w:rsidP="00A5074A">
            <w:pPr>
              <w:pStyle w:val="Table"/>
              <w:keepNext/>
              <w:spacing w:before="40" w:after="40"/>
              <w:ind w:left="180"/>
              <w:rPr>
                <w:color w:val="auto"/>
              </w:rPr>
            </w:pPr>
            <w:r>
              <w:rPr>
                <w:color w:val="auto"/>
              </w:rPr>
              <w:t>Chest</w:t>
            </w:r>
          </w:p>
        </w:tc>
        <w:tc>
          <w:tcPr>
            <w:tcW w:w="0" w:type="auto"/>
          </w:tcPr>
          <w:p w:rsidR="001E0675" w:rsidRDefault="001E0675" w:rsidP="00A5074A">
            <w:pPr>
              <w:pStyle w:val="Table"/>
              <w:keepNext/>
              <w:spacing w:before="40" w:after="40"/>
              <w:jc w:val="right"/>
              <w:rPr>
                <w:color w:val="auto"/>
              </w:rPr>
            </w:pPr>
            <w:r>
              <w:rPr>
                <w:color w:val="auto"/>
              </w:rPr>
              <w:t>8/9 (89)</w:t>
            </w:r>
          </w:p>
        </w:tc>
        <w:tc>
          <w:tcPr>
            <w:tcW w:w="0" w:type="auto"/>
          </w:tcPr>
          <w:p w:rsidR="001E0675" w:rsidRDefault="001E0675" w:rsidP="00A5074A">
            <w:pPr>
              <w:pStyle w:val="Table"/>
              <w:keepNext/>
              <w:spacing w:before="40" w:after="40"/>
              <w:jc w:val="right"/>
              <w:rPr>
                <w:color w:val="auto"/>
              </w:rPr>
            </w:pPr>
            <w:r>
              <w:rPr>
                <w:color w:val="auto"/>
              </w:rPr>
              <w:t>1/8 (13)</w:t>
            </w:r>
          </w:p>
        </w:tc>
        <w:tc>
          <w:tcPr>
            <w:tcW w:w="0" w:type="auto"/>
          </w:tcPr>
          <w:p w:rsidR="001E0675" w:rsidRPr="00EC19C4" w:rsidRDefault="001E0675" w:rsidP="00A5074A">
            <w:pPr>
              <w:pStyle w:val="Table"/>
              <w:keepNext/>
              <w:spacing w:before="40" w:after="40"/>
              <w:rPr>
                <w:color w:val="auto"/>
              </w:rPr>
            </w:pPr>
          </w:p>
        </w:tc>
        <w:tc>
          <w:tcPr>
            <w:tcW w:w="0" w:type="auto"/>
          </w:tcPr>
          <w:p w:rsidR="001E0675" w:rsidRDefault="001E0675" w:rsidP="00A5074A">
            <w:pPr>
              <w:pStyle w:val="Table"/>
              <w:keepNext/>
              <w:spacing w:before="40" w:after="40"/>
              <w:jc w:val="right"/>
              <w:rPr>
                <w:color w:val="auto"/>
              </w:rPr>
            </w:pPr>
            <w:r>
              <w:rPr>
                <w:color w:val="auto"/>
              </w:rPr>
              <w:t>3/5 (60)</w:t>
            </w:r>
          </w:p>
        </w:tc>
        <w:tc>
          <w:tcPr>
            <w:tcW w:w="0" w:type="auto"/>
          </w:tcPr>
          <w:p w:rsidR="001E0675" w:rsidRDefault="001E0675" w:rsidP="00A5074A">
            <w:pPr>
              <w:pStyle w:val="Table"/>
              <w:keepNext/>
              <w:spacing w:before="40" w:after="40"/>
              <w:jc w:val="right"/>
              <w:rPr>
                <w:color w:val="auto"/>
              </w:rPr>
            </w:pPr>
            <w:r>
              <w:rPr>
                <w:color w:val="auto"/>
              </w:rPr>
              <w:t>1/3 (33)</w:t>
            </w:r>
          </w:p>
        </w:tc>
      </w:tr>
      <w:tr w:rsidR="001E0675" w:rsidRPr="00EC19C4" w:rsidTr="00E352E7">
        <w:tc>
          <w:tcPr>
            <w:tcW w:w="0" w:type="auto"/>
          </w:tcPr>
          <w:p w:rsidR="001E0675" w:rsidRDefault="001E0675" w:rsidP="00A5074A">
            <w:pPr>
              <w:pStyle w:val="Table"/>
              <w:keepNext/>
              <w:spacing w:before="40" w:after="40"/>
              <w:ind w:left="180"/>
              <w:rPr>
                <w:color w:val="auto"/>
              </w:rPr>
            </w:pPr>
            <w:r>
              <w:rPr>
                <w:color w:val="auto"/>
              </w:rPr>
              <w:t>Other (</w:t>
            </w:r>
            <w:proofErr w:type="spellStart"/>
            <w:r>
              <w:rPr>
                <w:color w:val="auto"/>
              </w:rPr>
              <w:t>inc.</w:t>
            </w:r>
            <w:proofErr w:type="spellEnd"/>
            <w:r>
              <w:rPr>
                <w:color w:val="auto"/>
              </w:rPr>
              <w:t xml:space="preserve"> Shoulder, Back, Leg)</w:t>
            </w:r>
          </w:p>
        </w:tc>
        <w:tc>
          <w:tcPr>
            <w:tcW w:w="0" w:type="auto"/>
          </w:tcPr>
          <w:p w:rsidR="001E0675" w:rsidRDefault="001E0675" w:rsidP="00A5074A">
            <w:pPr>
              <w:pStyle w:val="Table"/>
              <w:keepNext/>
              <w:spacing w:before="40" w:after="40"/>
              <w:jc w:val="right"/>
              <w:rPr>
                <w:color w:val="auto"/>
              </w:rPr>
            </w:pPr>
            <w:r>
              <w:rPr>
                <w:color w:val="auto"/>
              </w:rPr>
              <w:t>1/8 (13)</w:t>
            </w:r>
          </w:p>
        </w:tc>
        <w:tc>
          <w:tcPr>
            <w:tcW w:w="0" w:type="auto"/>
          </w:tcPr>
          <w:p w:rsidR="001E0675" w:rsidRDefault="001E0675" w:rsidP="00A5074A">
            <w:pPr>
              <w:pStyle w:val="Table"/>
              <w:keepNext/>
              <w:spacing w:before="40" w:after="40"/>
              <w:jc w:val="right"/>
              <w:rPr>
                <w:color w:val="auto"/>
              </w:rPr>
            </w:pPr>
            <w:r>
              <w:rPr>
                <w:color w:val="auto"/>
              </w:rPr>
              <w:t>1/10 (10)</w:t>
            </w:r>
          </w:p>
        </w:tc>
        <w:tc>
          <w:tcPr>
            <w:tcW w:w="0" w:type="auto"/>
          </w:tcPr>
          <w:p w:rsidR="001E0675" w:rsidRPr="00EC19C4" w:rsidRDefault="001E0675" w:rsidP="00A5074A">
            <w:pPr>
              <w:pStyle w:val="Table"/>
              <w:keepNext/>
              <w:spacing w:before="40" w:after="40"/>
              <w:rPr>
                <w:color w:val="auto"/>
              </w:rPr>
            </w:pPr>
          </w:p>
        </w:tc>
        <w:tc>
          <w:tcPr>
            <w:tcW w:w="0" w:type="auto"/>
          </w:tcPr>
          <w:p w:rsidR="001E0675" w:rsidRDefault="001E0675" w:rsidP="00A5074A">
            <w:pPr>
              <w:pStyle w:val="Table"/>
              <w:keepNext/>
              <w:spacing w:before="40" w:after="40"/>
              <w:jc w:val="right"/>
              <w:rPr>
                <w:color w:val="auto"/>
              </w:rPr>
            </w:pPr>
            <w:r>
              <w:rPr>
                <w:color w:val="auto"/>
              </w:rPr>
              <w:t>6/8 (75)</w:t>
            </w:r>
          </w:p>
        </w:tc>
        <w:tc>
          <w:tcPr>
            <w:tcW w:w="0" w:type="auto"/>
          </w:tcPr>
          <w:p w:rsidR="001E0675" w:rsidRDefault="001E0675" w:rsidP="00A5074A">
            <w:pPr>
              <w:pStyle w:val="Table"/>
              <w:keepNext/>
              <w:spacing w:before="40" w:after="40"/>
              <w:jc w:val="right"/>
              <w:rPr>
                <w:color w:val="auto"/>
              </w:rPr>
            </w:pPr>
            <w:r>
              <w:rPr>
                <w:color w:val="auto"/>
              </w:rPr>
              <w:t>1/6 (17)</w:t>
            </w:r>
          </w:p>
        </w:tc>
      </w:tr>
      <w:tr w:rsidR="001E0675" w:rsidTr="00E352E7">
        <w:tc>
          <w:tcPr>
            <w:tcW w:w="0" w:type="auto"/>
          </w:tcPr>
          <w:p w:rsidR="001E0675" w:rsidRDefault="001E0675" w:rsidP="00A5074A">
            <w:pPr>
              <w:pStyle w:val="Table"/>
              <w:spacing w:before="40" w:after="40"/>
            </w:pPr>
            <w:r>
              <w:t>Partial Clearance Rate, n (%)</w:t>
            </w:r>
          </w:p>
        </w:tc>
        <w:tc>
          <w:tcPr>
            <w:tcW w:w="0" w:type="auto"/>
          </w:tcPr>
          <w:p w:rsidR="001E0675" w:rsidRDefault="001E0675" w:rsidP="00A5074A">
            <w:pPr>
              <w:pStyle w:val="Table"/>
              <w:spacing w:before="40" w:after="40"/>
              <w:jc w:val="right"/>
            </w:pPr>
            <w:r>
              <w:t>56 (44)</w:t>
            </w:r>
          </w:p>
        </w:tc>
        <w:tc>
          <w:tcPr>
            <w:tcW w:w="0" w:type="auto"/>
          </w:tcPr>
          <w:p w:rsidR="001E0675" w:rsidRDefault="001E0675" w:rsidP="00A5074A">
            <w:pPr>
              <w:pStyle w:val="Table"/>
              <w:spacing w:before="40" w:after="40"/>
              <w:jc w:val="right"/>
            </w:pPr>
            <w:r>
              <w:t>9 (7)</w:t>
            </w:r>
          </w:p>
        </w:tc>
        <w:tc>
          <w:tcPr>
            <w:tcW w:w="0" w:type="auto"/>
          </w:tcPr>
          <w:p w:rsidR="001E0675" w:rsidRDefault="001E0675" w:rsidP="00A5074A">
            <w:pPr>
              <w:pStyle w:val="Table"/>
              <w:spacing w:before="40" w:after="40"/>
            </w:pPr>
          </w:p>
        </w:tc>
        <w:tc>
          <w:tcPr>
            <w:tcW w:w="0" w:type="auto"/>
          </w:tcPr>
          <w:p w:rsidR="001E0675" w:rsidRDefault="001E0675" w:rsidP="00A5074A">
            <w:pPr>
              <w:pStyle w:val="Table"/>
              <w:spacing w:before="40" w:after="40"/>
              <w:jc w:val="right"/>
            </w:pPr>
            <w:r>
              <w:t>55 (55)</w:t>
            </w:r>
          </w:p>
        </w:tc>
        <w:tc>
          <w:tcPr>
            <w:tcW w:w="0" w:type="auto"/>
          </w:tcPr>
          <w:p w:rsidR="001E0675" w:rsidRDefault="001E0675" w:rsidP="00A5074A">
            <w:pPr>
              <w:pStyle w:val="Table"/>
              <w:spacing w:before="40" w:after="40"/>
              <w:jc w:val="right"/>
            </w:pPr>
            <w:r>
              <w:t>7 (7)</w:t>
            </w:r>
          </w:p>
        </w:tc>
      </w:tr>
    </w:tbl>
    <w:p w:rsidR="00C10DFD" w:rsidRDefault="00C10DFD" w:rsidP="00A5074A">
      <w:pPr>
        <w:pStyle w:val="TableFootnote"/>
        <w:spacing w:before="40" w:after="40"/>
      </w:pPr>
      <w:proofErr w:type="gramStart"/>
      <w:r>
        <w:t xml:space="preserve">IMG, </w:t>
      </w:r>
      <w:proofErr w:type="spellStart"/>
      <w:r>
        <w:t>Ingenol</w:t>
      </w:r>
      <w:proofErr w:type="spellEnd"/>
      <w:r>
        <w:t xml:space="preserve"> </w:t>
      </w:r>
      <w:proofErr w:type="spellStart"/>
      <w:r>
        <w:t>mebutate</w:t>
      </w:r>
      <w:proofErr w:type="spellEnd"/>
      <w:r>
        <w:t xml:space="preserve"> gel.</w:t>
      </w:r>
      <w:proofErr w:type="gramEnd"/>
      <w:r>
        <w:t xml:space="preserve"> VEH, Vehicle</w:t>
      </w:r>
    </w:p>
    <w:p w:rsidR="001E0675" w:rsidRDefault="001E0675" w:rsidP="009E4E80"/>
    <w:p w:rsidR="009F6580" w:rsidRDefault="009F6580" w:rsidP="00A5074A">
      <w:pPr>
        <w:pStyle w:val="Caption"/>
        <w:spacing w:before="40" w:after="40"/>
      </w:pPr>
      <w:bookmarkStart w:id="8" w:name="_Ref373852759"/>
      <w:r>
        <w:t xml:space="preserve">Table </w:t>
      </w:r>
      <w:r w:rsidR="00017C36">
        <w:fldChar w:fldCharType="begin"/>
      </w:r>
      <w:r w:rsidR="00017C36">
        <w:instrText xml:space="preserve"> SEQ Table \* ARABIC </w:instrText>
      </w:r>
      <w:r w:rsidR="00017C36">
        <w:fldChar w:fldCharType="separate"/>
      </w:r>
      <w:r w:rsidR="00D93D73">
        <w:rPr>
          <w:noProof/>
        </w:rPr>
        <w:t>6</w:t>
      </w:r>
      <w:r w:rsidR="00017C36">
        <w:rPr>
          <w:noProof/>
        </w:rPr>
        <w:fldChar w:fldCharType="end"/>
      </w:r>
      <w:bookmarkEnd w:id="8"/>
      <w:r>
        <w:tab/>
        <w:t>Complete Clearance, Effect Size</w:t>
      </w:r>
    </w:p>
    <w:tbl>
      <w:tblPr>
        <w:tblStyle w:val="TableColumns4"/>
        <w:tblpPr w:leftFromText="720" w:rightFromText="720" w:bottomFromText="418" w:vertAnchor="text" w:tblpY="1"/>
        <w:tblW w:w="0" w:type="auto"/>
        <w:tblLook w:val="04A0" w:firstRow="1" w:lastRow="0" w:firstColumn="1" w:lastColumn="0" w:noHBand="0" w:noVBand="1"/>
      </w:tblPr>
      <w:tblGrid>
        <w:gridCol w:w="2128"/>
        <w:gridCol w:w="759"/>
        <w:gridCol w:w="759"/>
      </w:tblGrid>
      <w:tr w:rsidR="009F6580" w:rsidRPr="009F6580" w:rsidTr="000F75EF">
        <w:trPr>
          <w:cnfStyle w:val="100000000000" w:firstRow="1" w:lastRow="0" w:firstColumn="0" w:lastColumn="0" w:oddVBand="0" w:evenVBand="0" w:oddHBand="0" w:evenHBand="0" w:firstRowFirstColumn="0" w:firstRowLastColumn="0" w:lastRowFirstColumn="0" w:lastRowLastColumn="0"/>
        </w:trPr>
        <w:tc>
          <w:tcPr>
            <w:tcW w:w="0" w:type="auto"/>
          </w:tcPr>
          <w:p w:rsidR="009F6580" w:rsidRPr="009F6580" w:rsidRDefault="009F6580" w:rsidP="00A5074A">
            <w:pPr>
              <w:pStyle w:val="Table"/>
              <w:keepNext/>
              <w:spacing w:before="40" w:after="40"/>
              <w:rPr>
                <w:color w:val="FFFFFF" w:themeColor="background1"/>
              </w:rPr>
            </w:pPr>
            <w:r>
              <w:rPr>
                <w:color w:val="FFFFFF" w:themeColor="background1"/>
              </w:rPr>
              <w:t>Outcome Measure, Day 57</w:t>
            </w:r>
          </w:p>
        </w:tc>
        <w:tc>
          <w:tcPr>
            <w:tcW w:w="0" w:type="auto"/>
          </w:tcPr>
          <w:p w:rsidR="009F6580" w:rsidRPr="009F6580" w:rsidRDefault="009F6580" w:rsidP="00A5074A">
            <w:pPr>
              <w:pStyle w:val="Table"/>
              <w:keepNext/>
              <w:spacing w:before="40" w:after="40"/>
              <w:rPr>
                <w:color w:val="FFFFFF" w:themeColor="background1"/>
              </w:rPr>
            </w:pPr>
          </w:p>
        </w:tc>
        <w:tc>
          <w:tcPr>
            <w:tcW w:w="0" w:type="auto"/>
          </w:tcPr>
          <w:p w:rsidR="009F6580" w:rsidRPr="009F6580" w:rsidRDefault="009F6580" w:rsidP="00A5074A">
            <w:pPr>
              <w:pStyle w:val="Table"/>
              <w:keepNext/>
              <w:spacing w:before="40" w:after="40"/>
              <w:rPr>
                <w:color w:val="FFFFFF" w:themeColor="background1"/>
              </w:rPr>
            </w:pPr>
          </w:p>
        </w:tc>
      </w:tr>
      <w:tr w:rsidR="009F6580" w:rsidTr="000F75EF">
        <w:tc>
          <w:tcPr>
            <w:tcW w:w="0" w:type="auto"/>
            <w:shd w:val="clear" w:color="auto" w:fill="D9D9D9" w:themeFill="background1" w:themeFillShade="D9"/>
          </w:tcPr>
          <w:p w:rsidR="009F6580" w:rsidRDefault="009F6580" w:rsidP="00A5074A">
            <w:pPr>
              <w:pStyle w:val="Table"/>
              <w:spacing w:before="40" w:after="40"/>
            </w:pPr>
            <w:r>
              <w:t>AK of Face or Scalp</w:t>
            </w:r>
          </w:p>
        </w:tc>
        <w:tc>
          <w:tcPr>
            <w:tcW w:w="0" w:type="auto"/>
            <w:shd w:val="clear" w:color="auto" w:fill="D9D9D9" w:themeFill="background1" w:themeFillShade="D9"/>
          </w:tcPr>
          <w:p w:rsidR="009F6580" w:rsidRDefault="009F6580" w:rsidP="00A5074A">
            <w:pPr>
              <w:pStyle w:val="Table"/>
              <w:spacing w:before="40" w:after="40"/>
            </w:pPr>
            <w:r>
              <w:t>Study 1</w:t>
            </w:r>
          </w:p>
        </w:tc>
        <w:tc>
          <w:tcPr>
            <w:tcW w:w="0" w:type="auto"/>
            <w:shd w:val="clear" w:color="auto" w:fill="D9D9D9" w:themeFill="background1" w:themeFillShade="D9"/>
          </w:tcPr>
          <w:p w:rsidR="009F6580" w:rsidRDefault="009F6580" w:rsidP="00A5074A">
            <w:pPr>
              <w:pStyle w:val="Table"/>
              <w:spacing w:before="40" w:after="40"/>
            </w:pPr>
            <w:r>
              <w:t>Study 2</w:t>
            </w:r>
          </w:p>
        </w:tc>
      </w:tr>
      <w:tr w:rsidR="009F6580" w:rsidTr="000F75EF">
        <w:tc>
          <w:tcPr>
            <w:tcW w:w="0" w:type="auto"/>
          </w:tcPr>
          <w:p w:rsidR="009F6580" w:rsidRDefault="009F6580" w:rsidP="00A5074A">
            <w:pPr>
              <w:pStyle w:val="Table"/>
              <w:spacing w:before="40" w:after="40"/>
            </w:pPr>
            <w:r>
              <w:t xml:space="preserve">NNT (95% CI) </w:t>
            </w:r>
          </w:p>
        </w:tc>
        <w:tc>
          <w:tcPr>
            <w:tcW w:w="0" w:type="auto"/>
          </w:tcPr>
          <w:p w:rsidR="009F6580" w:rsidRDefault="007408B1" w:rsidP="00A5074A">
            <w:pPr>
              <w:pStyle w:val="Table"/>
              <w:spacing w:before="40" w:after="40"/>
            </w:pPr>
            <w:r>
              <w:t>3 (3–4)</w:t>
            </w:r>
          </w:p>
        </w:tc>
        <w:tc>
          <w:tcPr>
            <w:tcW w:w="0" w:type="auto"/>
          </w:tcPr>
          <w:p w:rsidR="009F6580" w:rsidRDefault="007408B1" w:rsidP="00A5074A">
            <w:pPr>
              <w:pStyle w:val="Table"/>
              <w:spacing w:before="40" w:after="40"/>
            </w:pPr>
            <w:r>
              <w:t>3 (2–4)</w:t>
            </w:r>
          </w:p>
        </w:tc>
      </w:tr>
      <w:tr w:rsidR="009F6580" w:rsidTr="000F75EF">
        <w:tc>
          <w:tcPr>
            <w:tcW w:w="0" w:type="auto"/>
            <w:shd w:val="clear" w:color="auto" w:fill="D9D9D9" w:themeFill="background1" w:themeFillShade="D9"/>
          </w:tcPr>
          <w:p w:rsidR="009F6580" w:rsidRDefault="009F6580" w:rsidP="00A5074A">
            <w:pPr>
              <w:pStyle w:val="Table"/>
              <w:spacing w:before="40" w:after="40"/>
            </w:pPr>
            <w:r>
              <w:t>AK of Trunk or Extremities</w:t>
            </w:r>
          </w:p>
        </w:tc>
        <w:tc>
          <w:tcPr>
            <w:tcW w:w="0" w:type="auto"/>
            <w:shd w:val="clear" w:color="auto" w:fill="D9D9D9" w:themeFill="background1" w:themeFillShade="D9"/>
          </w:tcPr>
          <w:p w:rsidR="009F6580" w:rsidRDefault="009F6580" w:rsidP="00A5074A">
            <w:pPr>
              <w:pStyle w:val="Table"/>
              <w:spacing w:before="40" w:after="40"/>
            </w:pPr>
            <w:r>
              <w:t>Study 3</w:t>
            </w:r>
          </w:p>
        </w:tc>
        <w:tc>
          <w:tcPr>
            <w:tcW w:w="0" w:type="auto"/>
            <w:shd w:val="clear" w:color="auto" w:fill="D9D9D9" w:themeFill="background1" w:themeFillShade="D9"/>
          </w:tcPr>
          <w:p w:rsidR="009F6580" w:rsidRDefault="009F6580" w:rsidP="00A5074A">
            <w:pPr>
              <w:pStyle w:val="Table"/>
              <w:spacing w:before="40" w:after="40"/>
            </w:pPr>
            <w:r>
              <w:t>Study 4</w:t>
            </w:r>
          </w:p>
        </w:tc>
      </w:tr>
      <w:tr w:rsidR="009F6580" w:rsidTr="000F75EF">
        <w:tc>
          <w:tcPr>
            <w:tcW w:w="0" w:type="auto"/>
          </w:tcPr>
          <w:p w:rsidR="009F6580" w:rsidRDefault="009F6580" w:rsidP="00A5074A">
            <w:pPr>
              <w:pStyle w:val="Table"/>
              <w:spacing w:before="40" w:after="40"/>
            </w:pPr>
            <w:r>
              <w:t xml:space="preserve">NNT (95% CI) </w:t>
            </w:r>
          </w:p>
        </w:tc>
        <w:tc>
          <w:tcPr>
            <w:tcW w:w="0" w:type="auto"/>
          </w:tcPr>
          <w:p w:rsidR="009F6580" w:rsidRDefault="007408B1" w:rsidP="00A5074A">
            <w:pPr>
              <w:pStyle w:val="Table"/>
              <w:spacing w:before="40" w:after="40"/>
            </w:pPr>
            <w:r>
              <w:t>5 (4–7)</w:t>
            </w:r>
          </w:p>
        </w:tc>
        <w:tc>
          <w:tcPr>
            <w:tcW w:w="0" w:type="auto"/>
          </w:tcPr>
          <w:p w:rsidR="009F6580" w:rsidRDefault="007408B1" w:rsidP="00A5074A">
            <w:pPr>
              <w:pStyle w:val="Table"/>
              <w:spacing w:before="40" w:after="40"/>
            </w:pPr>
            <w:r>
              <w:t>3 (3–4)</w:t>
            </w:r>
          </w:p>
        </w:tc>
      </w:tr>
    </w:tbl>
    <w:p w:rsidR="005B213B" w:rsidRDefault="001E0675" w:rsidP="005B213B">
      <w:pPr>
        <w:pStyle w:val="Heading2"/>
      </w:pPr>
      <w:r w:rsidRPr="005B213B">
        <w:t xml:space="preserve">Long-term </w:t>
      </w:r>
      <w:r w:rsidR="00E352E7">
        <w:t>D</w:t>
      </w:r>
      <w:r w:rsidRPr="005B213B">
        <w:t>urability</w:t>
      </w:r>
      <w:r w:rsidR="005B213B" w:rsidRPr="005B213B">
        <w:t xml:space="preserve"> / Recurrence </w:t>
      </w:r>
    </w:p>
    <w:p w:rsidR="005B213B" w:rsidRDefault="0018739E" w:rsidP="005B213B">
      <w:r>
        <w:t>The Product Information reported that, i</w:t>
      </w:r>
      <w:r w:rsidR="005B213B">
        <w:t>n a</w:t>
      </w:r>
      <w:r w:rsidR="003E6BBD">
        <w:t>n observational</w:t>
      </w:r>
      <w:r w:rsidR="005B213B">
        <w:t xml:space="preserve"> follow-up study based on 108 subjects with AK of the face or scalp who achieved complete clearance on </w:t>
      </w:r>
      <w:proofErr w:type="spellStart"/>
      <w:r w:rsidR="005B213B">
        <w:t>ingenol</w:t>
      </w:r>
      <w:proofErr w:type="spellEnd"/>
      <w:r w:rsidR="005B213B">
        <w:t xml:space="preserve"> </w:t>
      </w:r>
      <w:proofErr w:type="spellStart"/>
      <w:r w:rsidR="005B213B">
        <w:t>mebutate</w:t>
      </w:r>
      <w:proofErr w:type="spellEnd"/>
      <w:r w:rsidR="005B213B">
        <w:t xml:space="preserve"> gel 0.015% in studies 1 and 2, the recurrence rate at 12-months was 54%.</w:t>
      </w:r>
      <w:bookmarkStart w:id="9" w:name="_Ref379373723"/>
      <w:r>
        <w:rPr>
          <w:rStyle w:val="EndnoteReference"/>
        </w:rPr>
        <w:endnoteReference w:id="18"/>
      </w:r>
      <w:bookmarkEnd w:id="9"/>
      <w:r w:rsidR="000F75EF">
        <w:t xml:space="preserve"> </w:t>
      </w:r>
      <w:r>
        <w:t xml:space="preserve">The </w:t>
      </w:r>
      <w:r w:rsidR="005B213B">
        <w:t xml:space="preserve">recurrence rate at 12 months was 50% in 38 subjects </w:t>
      </w:r>
      <w:r w:rsidR="005B213B" w:rsidRPr="005B213B">
        <w:t>with AK of the trunk</w:t>
      </w:r>
      <w:r w:rsidR="005B213B">
        <w:t xml:space="preserve"> or extremities who had achieved complete clearance on </w:t>
      </w:r>
      <w:proofErr w:type="spellStart"/>
      <w:r w:rsidR="005B213B">
        <w:t>ingenol</w:t>
      </w:r>
      <w:proofErr w:type="spellEnd"/>
      <w:r w:rsidR="005B213B">
        <w:t xml:space="preserve"> </w:t>
      </w:r>
      <w:proofErr w:type="spellStart"/>
      <w:r w:rsidR="005B213B">
        <w:t>mebutate</w:t>
      </w:r>
      <w:proofErr w:type="spellEnd"/>
      <w:r w:rsidR="005B213B">
        <w:t xml:space="preserve"> gel 0.05% in Study 4 then entered a follow-up study.</w:t>
      </w:r>
    </w:p>
    <w:p w:rsidR="00212720" w:rsidRDefault="0018739E" w:rsidP="005B213B">
      <w:r>
        <w:t>I</w:t>
      </w:r>
      <w:r w:rsidR="003E6BBD">
        <w:t xml:space="preserve">n the published </w:t>
      </w:r>
      <w:r w:rsidR="004845DE">
        <w:t xml:space="preserve">long-term </w:t>
      </w:r>
      <w:r w:rsidR="003E6BBD">
        <w:t>study</w:t>
      </w:r>
      <w:r>
        <w:t xml:space="preserve">, </w:t>
      </w:r>
      <w:r w:rsidR="004845DE">
        <w:t xml:space="preserve">the sustained clearance rate after 12 months was </w:t>
      </w:r>
      <w:r w:rsidR="00A5074A">
        <w:t xml:space="preserve">reported as </w:t>
      </w:r>
      <w:r w:rsidR="004845DE">
        <w:t xml:space="preserve">46.1% for </w:t>
      </w:r>
      <w:r w:rsidR="00212720">
        <w:t>patients with AK on the face or scalp, and 44.0% for patients with AK on the trunk or extremities.</w:t>
      </w:r>
      <w:bookmarkStart w:id="10" w:name="_Ref379463135"/>
      <w:r w:rsidR="00212720">
        <w:rPr>
          <w:rStyle w:val="EndnoteReference"/>
        </w:rPr>
        <w:endnoteReference w:id="19"/>
      </w:r>
      <w:bookmarkEnd w:id="10"/>
      <w:r w:rsidR="00212720">
        <w:t xml:space="preserve"> The estimated median times to new or recurrent lesions in the treatment area were 365 days for face or scalp and 274 days for the trunk or extremities. </w:t>
      </w:r>
    </w:p>
    <w:p w:rsidR="003E6BBD" w:rsidRDefault="00212720" w:rsidP="005B213B">
      <w:r>
        <w:t>R</w:t>
      </w:r>
      <w:r w:rsidR="0018739E">
        <w:t xml:space="preserve">ecurrence was </w:t>
      </w:r>
      <w:r>
        <w:t xml:space="preserve">also </w:t>
      </w:r>
      <w:r w:rsidR="0018739E">
        <w:t xml:space="preserve">reported in terms of </w:t>
      </w:r>
      <w:r w:rsidR="004845DE">
        <w:t xml:space="preserve">a post hoc end point, the percentage reduction in the total number of AK (new or recurrent lesions) at 12 months relative to the number of lesions at baseline in the previous study for patients who had achieved complete clearance at day 57. The overall percentage reduction was referred to as </w:t>
      </w:r>
      <w:r w:rsidR="0018739E">
        <w:t>sustained lesion reduction</w:t>
      </w:r>
      <w:r w:rsidR="003E6BBD">
        <w:t xml:space="preserve">. </w:t>
      </w:r>
      <w:r w:rsidR="003E6BBD" w:rsidRPr="003E6BBD">
        <w:t xml:space="preserve">The sustained lesion reduction rates compared with baseline were 87.2% </w:t>
      </w:r>
      <w:r w:rsidR="003E6BBD">
        <w:t>in 100 study completers (of 108 study entrants) with AK of</w:t>
      </w:r>
      <w:r w:rsidR="003E6BBD" w:rsidRPr="003E6BBD">
        <w:t xml:space="preserve"> the face or scalp</w:t>
      </w:r>
      <w:r w:rsidR="003E6BBD">
        <w:t>,</w:t>
      </w:r>
      <w:r w:rsidR="003E6BBD" w:rsidRPr="003E6BBD">
        <w:t xml:space="preserve"> and 86.8% </w:t>
      </w:r>
      <w:r w:rsidR="003E6BBD">
        <w:t xml:space="preserve">in 71 study completers (of 76 entrants) with AK of </w:t>
      </w:r>
      <w:r w:rsidR="003E6BBD" w:rsidRPr="003E6BBD">
        <w:t xml:space="preserve">the trunk or extremities. </w:t>
      </w:r>
    </w:p>
    <w:p w:rsidR="00E352E7" w:rsidRPr="005B213B" w:rsidRDefault="00E352E7" w:rsidP="005B213B">
      <w:r>
        <w:t xml:space="preserve">There </w:t>
      </w:r>
      <w:r w:rsidR="004153E9">
        <w:t>was</w:t>
      </w:r>
      <w:r>
        <w:t xml:space="preserve"> no evaluation of potential </w:t>
      </w:r>
      <w:r w:rsidR="004153E9">
        <w:t xml:space="preserve">treatment </w:t>
      </w:r>
      <w:r>
        <w:t>effects on the incidence of squamous cell carcinoma.</w:t>
      </w:r>
      <w:r w:rsidR="004153E9">
        <w:t xml:space="preserve"> Data on this outcome are also lacking in studies of other treatments for AK.</w:t>
      </w:r>
      <w:r w:rsidR="004153E9" w:rsidRPr="004153E9">
        <w:rPr>
          <w:vertAlign w:val="superscript"/>
        </w:rPr>
        <w:fldChar w:fldCharType="begin"/>
      </w:r>
      <w:r w:rsidR="004153E9" w:rsidRPr="004153E9">
        <w:rPr>
          <w:vertAlign w:val="superscript"/>
        </w:rPr>
        <w:instrText xml:space="preserve"> NOTEREF _Ref374352949 \h </w:instrText>
      </w:r>
      <w:r w:rsidR="004153E9">
        <w:rPr>
          <w:vertAlign w:val="superscript"/>
        </w:rPr>
        <w:instrText xml:space="preserve"> \* MERGEFORMAT </w:instrText>
      </w:r>
      <w:r w:rsidR="004153E9" w:rsidRPr="004153E9">
        <w:rPr>
          <w:vertAlign w:val="superscript"/>
        </w:rPr>
      </w:r>
      <w:r w:rsidR="004153E9" w:rsidRPr="004153E9">
        <w:rPr>
          <w:vertAlign w:val="superscript"/>
        </w:rPr>
        <w:fldChar w:fldCharType="separate"/>
      </w:r>
      <w:r w:rsidR="00D93D73">
        <w:rPr>
          <w:vertAlign w:val="superscript"/>
        </w:rPr>
        <w:t>19</w:t>
      </w:r>
      <w:r w:rsidR="004153E9" w:rsidRPr="004153E9">
        <w:rPr>
          <w:vertAlign w:val="superscript"/>
        </w:rPr>
        <w:fldChar w:fldCharType="end"/>
      </w:r>
      <w:r w:rsidR="004153E9">
        <w:t xml:space="preserve"> </w:t>
      </w:r>
    </w:p>
    <w:p w:rsidR="00DE1692" w:rsidRDefault="00DE1692" w:rsidP="00DE1692">
      <w:pPr>
        <w:pStyle w:val="Heading2"/>
      </w:pPr>
      <w:r>
        <w:t>Indirect Comparisons from Meta-analysis</w:t>
      </w:r>
    </w:p>
    <w:p w:rsidR="00DE1692" w:rsidRDefault="00DE1692">
      <w:pPr>
        <w:pStyle w:val="Header"/>
        <w:tabs>
          <w:tab w:val="clear" w:pos="4320"/>
          <w:tab w:val="clear" w:pos="8640"/>
        </w:tabs>
      </w:pPr>
      <w:r>
        <w:t>A Cochrane meta-analysis of placebo- and active-controlled trials evaluating different therapies for actinic keratosis included 83 randomized clinical trials (total N=10,036).</w:t>
      </w:r>
      <w:bookmarkStart w:id="11" w:name="_Ref374352949"/>
      <w:r w:rsidR="006C0318">
        <w:rPr>
          <w:rStyle w:val="EndnoteReference"/>
        </w:rPr>
        <w:endnoteReference w:id="20"/>
      </w:r>
      <w:bookmarkEnd w:id="11"/>
      <w:r>
        <w:t xml:space="preserve"> The trials included 18 topical treatments, among other oral, mechanical and chemical interventions. </w:t>
      </w:r>
      <w:r w:rsidR="00207428">
        <w:t xml:space="preserve">Two </w:t>
      </w:r>
      <w:proofErr w:type="spellStart"/>
      <w:r w:rsidR="00207428">
        <w:t>ingenol</w:t>
      </w:r>
      <w:proofErr w:type="spellEnd"/>
      <w:r w:rsidR="00207428">
        <w:t xml:space="preserve"> </w:t>
      </w:r>
      <w:proofErr w:type="spellStart"/>
      <w:r w:rsidR="00207428">
        <w:t>mebutate</w:t>
      </w:r>
      <w:proofErr w:type="spellEnd"/>
      <w:r w:rsidR="00207428">
        <w:t xml:space="preserve"> studies</w:t>
      </w:r>
      <w:bookmarkStart w:id="12" w:name="_Ref374352810"/>
      <w:r w:rsidR="00207428">
        <w:rPr>
          <w:rStyle w:val="EndnoteReference"/>
        </w:rPr>
        <w:endnoteReference w:id="21"/>
      </w:r>
      <w:bookmarkEnd w:id="12"/>
      <w:proofErr w:type="gramStart"/>
      <w:r w:rsidR="005C7B06" w:rsidRPr="005C7B06">
        <w:rPr>
          <w:vertAlign w:val="superscript"/>
        </w:rPr>
        <w:t>,</w:t>
      </w:r>
      <w:bookmarkStart w:id="13" w:name="_Ref374352916"/>
      <w:proofErr w:type="gramEnd"/>
      <w:r w:rsidR="00D21453">
        <w:rPr>
          <w:rStyle w:val="EndnoteReference"/>
        </w:rPr>
        <w:endnoteReference w:id="22"/>
      </w:r>
      <w:bookmarkEnd w:id="13"/>
      <w:r w:rsidR="00207428">
        <w:t xml:space="preserve"> were included for the primary outcome measure, “participant complete clearance”</w:t>
      </w:r>
      <w:r w:rsidR="007D4B95">
        <w:t xml:space="preserve"> for all lesions (target and subclinical lesions)</w:t>
      </w:r>
      <w:r w:rsidR="00207428">
        <w:t>; a third study</w:t>
      </w:r>
      <w:bookmarkStart w:id="14" w:name="_Ref374352813"/>
      <w:r w:rsidR="00D21453">
        <w:rPr>
          <w:rStyle w:val="EndnoteReference"/>
        </w:rPr>
        <w:endnoteReference w:id="23"/>
      </w:r>
      <w:bookmarkEnd w:id="14"/>
      <w:r w:rsidR="00207428">
        <w:t xml:space="preserve"> </w:t>
      </w:r>
      <w:r w:rsidR="00D21453">
        <w:t>evaluate</w:t>
      </w:r>
      <w:r w:rsidR="007D4B95">
        <w:t>d only target lesions</w:t>
      </w:r>
      <w:r w:rsidR="00D21453">
        <w:t xml:space="preserve"> and </w:t>
      </w:r>
      <w:r w:rsidR="007D4B95">
        <w:t>results are not discussed here</w:t>
      </w:r>
      <w:r w:rsidR="00207428">
        <w:t xml:space="preserve">. </w:t>
      </w:r>
      <w:r>
        <w:t>Results for the</w:t>
      </w:r>
      <w:r w:rsidR="006D01F8">
        <w:t xml:space="preserve"> efficacious</w:t>
      </w:r>
      <w:r>
        <w:t xml:space="preserve"> field-d</w:t>
      </w:r>
      <w:r w:rsidR="006D01F8">
        <w:t xml:space="preserve">irected topical treatments for which indirect comparative data were available </w:t>
      </w:r>
      <w:r>
        <w:t xml:space="preserve">are shown </w:t>
      </w:r>
      <w:r w:rsidR="00F14A50">
        <w:t xml:space="preserve">in </w:t>
      </w:r>
      <w:r w:rsidR="00017C36">
        <w:fldChar w:fldCharType="begin"/>
      </w:r>
      <w:r w:rsidR="00017C36">
        <w:instrText xml:space="preserve"> REF  _Ref374110510 </w:instrText>
      </w:r>
      <w:r w:rsidR="00017C36">
        <w:fldChar w:fldCharType="separate"/>
      </w:r>
      <w:r w:rsidR="00D93D73">
        <w:t xml:space="preserve">Table </w:t>
      </w:r>
      <w:r w:rsidR="00D93D73">
        <w:rPr>
          <w:noProof/>
        </w:rPr>
        <w:t>7</w:t>
      </w:r>
      <w:r w:rsidR="00017C36">
        <w:rPr>
          <w:noProof/>
        </w:rPr>
        <w:fldChar w:fldCharType="end"/>
      </w:r>
      <w:r>
        <w:t>.</w:t>
      </w:r>
    </w:p>
    <w:p w:rsidR="00DE1692" w:rsidRDefault="006C0318" w:rsidP="00A5074A">
      <w:pPr>
        <w:pStyle w:val="Caption"/>
        <w:spacing w:beforeLines="40" w:before="96" w:afterLines="40" w:after="96"/>
      </w:pPr>
      <w:bookmarkStart w:id="15" w:name="_Ref374110510"/>
      <w:r>
        <w:t xml:space="preserve">Table </w:t>
      </w:r>
      <w:r w:rsidR="00017C36">
        <w:fldChar w:fldCharType="begin"/>
      </w:r>
      <w:r w:rsidR="00017C36">
        <w:instrText xml:space="preserve"> SEQ Table \* ARABIC </w:instrText>
      </w:r>
      <w:r w:rsidR="00017C36">
        <w:fldChar w:fldCharType="separate"/>
      </w:r>
      <w:r w:rsidR="00D93D73">
        <w:rPr>
          <w:noProof/>
        </w:rPr>
        <w:t>7</w:t>
      </w:r>
      <w:r w:rsidR="00017C36">
        <w:rPr>
          <w:noProof/>
        </w:rPr>
        <w:fldChar w:fldCharType="end"/>
      </w:r>
      <w:bookmarkEnd w:id="15"/>
      <w:r>
        <w:tab/>
        <w:t>Results of Meta-analysis:  “Participant Complete Clearance”</w:t>
      </w:r>
      <w:r w:rsidR="007D4B95">
        <w:t xml:space="preserve"> </w:t>
      </w:r>
      <w:r w:rsidR="003A623E">
        <w:t xml:space="preserve">of Target and </w:t>
      </w:r>
      <w:r w:rsidR="00DC4AEF">
        <w:t>New</w:t>
      </w:r>
      <w:r w:rsidR="003A623E">
        <w:t xml:space="preserve"> Lesions</w:t>
      </w:r>
    </w:p>
    <w:tbl>
      <w:tblPr>
        <w:tblStyle w:val="TableColumns4"/>
        <w:tblW w:w="5000" w:type="pct"/>
        <w:tblLook w:val="04A0" w:firstRow="1" w:lastRow="0" w:firstColumn="1" w:lastColumn="0" w:noHBand="0" w:noVBand="1"/>
      </w:tblPr>
      <w:tblGrid>
        <w:gridCol w:w="2074"/>
        <w:gridCol w:w="323"/>
        <w:gridCol w:w="572"/>
        <w:gridCol w:w="1641"/>
        <w:gridCol w:w="1240"/>
        <w:gridCol w:w="4446"/>
      </w:tblGrid>
      <w:tr w:rsidR="00541FE5" w:rsidRPr="00DE1692" w:rsidTr="00974EFB">
        <w:trPr>
          <w:cnfStyle w:val="100000000000" w:firstRow="1" w:lastRow="0" w:firstColumn="0" w:lastColumn="0" w:oddVBand="0" w:evenVBand="0" w:oddHBand="0" w:evenHBand="0" w:firstRowFirstColumn="0" w:firstRowLastColumn="0" w:lastRowFirstColumn="0" w:lastRowLastColumn="0"/>
          <w:tblHeader/>
        </w:trPr>
        <w:tc>
          <w:tcPr>
            <w:tcW w:w="1007" w:type="pct"/>
            <w:vAlign w:val="bottom"/>
          </w:tcPr>
          <w:p w:rsidR="0012582D" w:rsidRDefault="00A01B18" w:rsidP="00A5074A">
            <w:pPr>
              <w:pStyle w:val="Table"/>
              <w:keepNext/>
              <w:spacing w:beforeLines="40" w:before="96" w:afterLines="40" w:after="96"/>
              <w:rPr>
                <w:color w:val="FFFFFF" w:themeColor="background1"/>
              </w:rPr>
            </w:pPr>
            <w:r>
              <w:rPr>
                <w:color w:val="FFFFFF" w:themeColor="background1"/>
              </w:rPr>
              <w:t xml:space="preserve">Topical </w:t>
            </w:r>
            <w:r w:rsidR="0012582D">
              <w:rPr>
                <w:color w:val="FFFFFF" w:themeColor="background1"/>
              </w:rPr>
              <w:t>Treatment</w:t>
            </w:r>
          </w:p>
          <w:p w:rsidR="00A01B18" w:rsidRPr="00DE1692" w:rsidRDefault="00A01B18" w:rsidP="00A5074A">
            <w:pPr>
              <w:pStyle w:val="Table"/>
              <w:keepNext/>
              <w:spacing w:beforeLines="40" w:before="96" w:afterLines="40" w:after="96"/>
              <w:rPr>
                <w:color w:val="FFFFFF" w:themeColor="background1"/>
              </w:rPr>
            </w:pPr>
            <w:r>
              <w:rPr>
                <w:color w:val="FFFFFF" w:themeColor="background1"/>
              </w:rPr>
              <w:t>Agent</w:t>
            </w:r>
            <w:r w:rsidR="00F618D2">
              <w:rPr>
                <w:color w:val="FFFFFF" w:themeColor="background1"/>
              </w:rPr>
              <w:t xml:space="preserve"> / Comparator</w:t>
            </w:r>
          </w:p>
        </w:tc>
        <w:tc>
          <w:tcPr>
            <w:tcW w:w="157" w:type="pct"/>
            <w:vAlign w:val="bottom"/>
          </w:tcPr>
          <w:p w:rsidR="00A01B18" w:rsidRPr="00DE1692" w:rsidRDefault="00A01B18" w:rsidP="00A5074A">
            <w:pPr>
              <w:pStyle w:val="Table"/>
              <w:keepNext/>
              <w:spacing w:beforeLines="40" w:before="96" w:afterLines="40" w:after="96"/>
              <w:rPr>
                <w:color w:val="FFFFFF" w:themeColor="background1"/>
              </w:rPr>
            </w:pPr>
            <w:r>
              <w:rPr>
                <w:color w:val="FFFFFF" w:themeColor="background1"/>
              </w:rPr>
              <w:t>K</w:t>
            </w:r>
          </w:p>
        </w:tc>
        <w:tc>
          <w:tcPr>
            <w:tcW w:w="278" w:type="pct"/>
            <w:vAlign w:val="bottom"/>
          </w:tcPr>
          <w:p w:rsidR="00A01B18" w:rsidRDefault="00A01B18" w:rsidP="00A5074A">
            <w:pPr>
              <w:pStyle w:val="Table"/>
              <w:keepNext/>
              <w:spacing w:beforeLines="40" w:before="96" w:afterLines="40" w:after="96"/>
              <w:rPr>
                <w:color w:val="FFFFFF" w:themeColor="background1"/>
              </w:rPr>
            </w:pPr>
            <w:r>
              <w:rPr>
                <w:color w:val="FFFFFF" w:themeColor="background1"/>
              </w:rPr>
              <w:t>N</w:t>
            </w:r>
          </w:p>
        </w:tc>
        <w:tc>
          <w:tcPr>
            <w:tcW w:w="797" w:type="pct"/>
            <w:vAlign w:val="bottom"/>
          </w:tcPr>
          <w:p w:rsidR="00A01B18" w:rsidRPr="00DE1692" w:rsidRDefault="00A01B18" w:rsidP="00A5074A">
            <w:pPr>
              <w:pStyle w:val="Table"/>
              <w:keepNext/>
              <w:spacing w:beforeLines="40" w:before="96" w:afterLines="40" w:after="96"/>
              <w:rPr>
                <w:color w:val="FFFFFF" w:themeColor="background1"/>
              </w:rPr>
            </w:pPr>
            <w:r>
              <w:rPr>
                <w:color w:val="FFFFFF" w:themeColor="background1"/>
              </w:rPr>
              <w:t>RR (95% CI)</w:t>
            </w:r>
          </w:p>
        </w:tc>
        <w:tc>
          <w:tcPr>
            <w:tcW w:w="602" w:type="pct"/>
            <w:vAlign w:val="bottom"/>
          </w:tcPr>
          <w:p w:rsidR="00A01B18" w:rsidRDefault="00A01B18" w:rsidP="00A5074A">
            <w:pPr>
              <w:pStyle w:val="Table"/>
              <w:keepNext/>
              <w:spacing w:beforeLines="40" w:before="96" w:afterLines="40" w:after="96"/>
              <w:rPr>
                <w:color w:val="FFFFFF" w:themeColor="background1"/>
              </w:rPr>
            </w:pPr>
            <w:r>
              <w:rPr>
                <w:color w:val="FFFFFF" w:themeColor="background1"/>
              </w:rPr>
              <w:t>GRADE Quality</w:t>
            </w:r>
          </w:p>
        </w:tc>
        <w:tc>
          <w:tcPr>
            <w:tcW w:w="2159" w:type="pct"/>
            <w:vAlign w:val="bottom"/>
          </w:tcPr>
          <w:p w:rsidR="00A01B18" w:rsidRDefault="00A01B18" w:rsidP="00A5074A">
            <w:pPr>
              <w:pStyle w:val="Table"/>
              <w:keepNext/>
              <w:spacing w:beforeLines="40" w:before="96" w:afterLines="40" w:after="96"/>
              <w:rPr>
                <w:color w:val="FFFFFF" w:themeColor="background1"/>
              </w:rPr>
            </w:pPr>
            <w:r>
              <w:rPr>
                <w:color w:val="FFFFFF" w:themeColor="background1"/>
              </w:rPr>
              <w:t>Comments</w:t>
            </w:r>
          </w:p>
        </w:tc>
      </w:tr>
      <w:tr w:rsidR="00541FE5" w:rsidTr="0042165F">
        <w:tc>
          <w:tcPr>
            <w:tcW w:w="5000" w:type="pct"/>
            <w:gridSpan w:val="6"/>
            <w:shd w:val="clear" w:color="auto" w:fill="D9D9D9" w:themeFill="background1" w:themeFillShade="D9"/>
          </w:tcPr>
          <w:p w:rsidR="00541FE5" w:rsidRDefault="00541FE5" w:rsidP="00A5074A">
            <w:pPr>
              <w:pStyle w:val="Table"/>
              <w:keepNext/>
              <w:spacing w:beforeLines="40" w:before="96" w:afterLines="40" w:after="96"/>
            </w:pPr>
            <w:r>
              <w:t xml:space="preserve">Active-controlled Trials, </w:t>
            </w:r>
            <w:proofErr w:type="spellStart"/>
            <w:r>
              <w:t>Immunocompetent</w:t>
            </w:r>
            <w:proofErr w:type="spellEnd"/>
          </w:p>
        </w:tc>
      </w:tr>
      <w:tr w:rsidR="00541FE5" w:rsidTr="00974EFB">
        <w:tc>
          <w:tcPr>
            <w:tcW w:w="1007" w:type="pct"/>
          </w:tcPr>
          <w:p w:rsidR="00A01B18" w:rsidRDefault="00A01B18" w:rsidP="00A5074A">
            <w:pPr>
              <w:pStyle w:val="Table"/>
              <w:keepNext/>
              <w:spacing w:beforeLines="40" w:before="96" w:afterLines="40" w:after="96"/>
            </w:pPr>
            <w:r>
              <w:t xml:space="preserve">5-Fluorouracil 5% (high strength) vs. </w:t>
            </w:r>
            <w:proofErr w:type="spellStart"/>
            <w:r>
              <w:t>Imiquimod</w:t>
            </w:r>
            <w:proofErr w:type="spellEnd"/>
            <w:r>
              <w:t xml:space="preserve"> 5%</w:t>
            </w:r>
          </w:p>
        </w:tc>
        <w:tc>
          <w:tcPr>
            <w:tcW w:w="157" w:type="pct"/>
          </w:tcPr>
          <w:p w:rsidR="00A01B18" w:rsidRDefault="006D05A9" w:rsidP="00A5074A">
            <w:pPr>
              <w:pStyle w:val="Table"/>
              <w:keepNext/>
              <w:spacing w:beforeLines="40" w:before="96" w:afterLines="40" w:after="96"/>
            </w:pPr>
            <w:r>
              <w:t>2</w:t>
            </w:r>
          </w:p>
        </w:tc>
        <w:tc>
          <w:tcPr>
            <w:tcW w:w="278" w:type="pct"/>
          </w:tcPr>
          <w:p w:rsidR="00A01B18" w:rsidRDefault="006D05A9" w:rsidP="00A5074A">
            <w:pPr>
              <w:pStyle w:val="Table"/>
              <w:keepNext/>
              <w:spacing w:beforeLines="40" w:before="96" w:afterLines="40" w:after="96"/>
            </w:pPr>
            <w:r>
              <w:t>89</w:t>
            </w:r>
          </w:p>
        </w:tc>
        <w:tc>
          <w:tcPr>
            <w:tcW w:w="797" w:type="pct"/>
          </w:tcPr>
          <w:p w:rsidR="00A01B18" w:rsidRDefault="00A01B18" w:rsidP="00A5074A">
            <w:pPr>
              <w:pStyle w:val="Table"/>
              <w:keepNext/>
              <w:spacing w:beforeLines="40" w:before="96" w:afterLines="40" w:after="96"/>
            </w:pPr>
            <w:r>
              <w:t>1.85 (0.41–8.33)</w:t>
            </w:r>
          </w:p>
        </w:tc>
        <w:tc>
          <w:tcPr>
            <w:tcW w:w="602" w:type="pct"/>
          </w:tcPr>
          <w:p w:rsidR="00A01B18" w:rsidRDefault="006D05A9" w:rsidP="00A5074A">
            <w:pPr>
              <w:pStyle w:val="Table"/>
              <w:keepNext/>
              <w:spacing w:beforeLines="40" w:before="96" w:afterLines="40" w:after="96"/>
            </w:pPr>
            <w:r>
              <w:t>Very low</w:t>
            </w:r>
          </w:p>
        </w:tc>
        <w:tc>
          <w:tcPr>
            <w:tcW w:w="2159" w:type="pct"/>
          </w:tcPr>
          <w:p w:rsidR="00A01B18" w:rsidRDefault="00D3347B" w:rsidP="00A5074A">
            <w:pPr>
              <w:pStyle w:val="Table"/>
              <w:keepNext/>
              <w:spacing w:beforeLines="40" w:before="96" w:afterLines="40" w:after="96"/>
            </w:pPr>
            <w:r>
              <w:t xml:space="preserve">High heterogeneity between studies; 5-FU </w:t>
            </w:r>
            <w:proofErr w:type="spellStart"/>
            <w:r>
              <w:t>tx</w:t>
            </w:r>
            <w:proofErr w:type="spellEnd"/>
            <w:r>
              <w:t xml:space="preserve"> was for 2–4 </w:t>
            </w:r>
            <w:proofErr w:type="spellStart"/>
            <w:r>
              <w:t>wks</w:t>
            </w:r>
            <w:proofErr w:type="spellEnd"/>
            <w:r>
              <w:t xml:space="preserve">; </w:t>
            </w:r>
            <w:proofErr w:type="spellStart"/>
            <w:r>
              <w:t>imiquimod</w:t>
            </w:r>
            <w:proofErr w:type="spellEnd"/>
            <w:r>
              <w:t xml:space="preserve"> </w:t>
            </w:r>
            <w:proofErr w:type="spellStart"/>
            <w:r>
              <w:t>tx</w:t>
            </w:r>
            <w:proofErr w:type="spellEnd"/>
            <w:r>
              <w:t xml:space="preserve"> was for 4–16 </w:t>
            </w:r>
            <w:proofErr w:type="spellStart"/>
            <w:r>
              <w:t>wks</w:t>
            </w:r>
            <w:proofErr w:type="spellEnd"/>
            <w:r>
              <w:t xml:space="preserve"> across studies</w:t>
            </w:r>
            <w:r w:rsidR="00A1282A">
              <w:t xml:space="preserve">. Possible advantage of 5FU over </w:t>
            </w:r>
            <w:proofErr w:type="spellStart"/>
            <w:r w:rsidR="00A1282A">
              <w:t>imiquimod</w:t>
            </w:r>
            <w:proofErr w:type="spellEnd"/>
            <w:r w:rsidR="00A1282A">
              <w:t xml:space="preserve"> </w:t>
            </w:r>
            <w:r w:rsidR="00670993">
              <w:t xml:space="preserve">in complete clearance </w:t>
            </w:r>
            <w:r w:rsidR="00A1282A">
              <w:t>needs confirmation.</w:t>
            </w:r>
            <w:r w:rsidR="00670993">
              <w:t xml:space="preserve"> </w:t>
            </w:r>
            <w:proofErr w:type="spellStart"/>
            <w:r w:rsidR="00670993" w:rsidRPr="00670993">
              <w:t>Imiquimod</w:t>
            </w:r>
            <w:proofErr w:type="spellEnd"/>
            <w:r w:rsidR="00670993" w:rsidRPr="00670993">
              <w:t xml:space="preserve"> 5% had better cosmetic outcomes than </w:t>
            </w:r>
            <w:r w:rsidR="00670993">
              <w:t>5FU</w:t>
            </w:r>
            <w:r w:rsidR="00670993" w:rsidRPr="00670993">
              <w:t>.</w:t>
            </w:r>
          </w:p>
        </w:tc>
      </w:tr>
      <w:tr w:rsidR="00541FE5" w:rsidTr="00974EFB">
        <w:tc>
          <w:tcPr>
            <w:tcW w:w="1007" w:type="pct"/>
          </w:tcPr>
          <w:p w:rsidR="00CA3A52" w:rsidRDefault="00CA3A52" w:rsidP="00A5074A">
            <w:pPr>
              <w:pStyle w:val="Table"/>
              <w:keepNext/>
              <w:spacing w:beforeLines="40" w:before="96" w:afterLines="40" w:after="96"/>
            </w:pPr>
            <w:r>
              <w:t xml:space="preserve">Diclofenac </w:t>
            </w:r>
            <w:r w:rsidR="0012582D">
              <w:t xml:space="preserve">3% </w:t>
            </w:r>
            <w:r>
              <w:t xml:space="preserve">vs. </w:t>
            </w:r>
            <w:proofErr w:type="spellStart"/>
            <w:r>
              <w:t>Imiquimod</w:t>
            </w:r>
            <w:proofErr w:type="spellEnd"/>
            <w:r w:rsidR="0012582D">
              <w:t xml:space="preserve"> 5% x 12 </w:t>
            </w:r>
            <w:proofErr w:type="spellStart"/>
            <w:r w:rsidR="0012582D">
              <w:t>wk</w:t>
            </w:r>
            <w:proofErr w:type="spellEnd"/>
          </w:p>
        </w:tc>
        <w:tc>
          <w:tcPr>
            <w:tcW w:w="157" w:type="pct"/>
          </w:tcPr>
          <w:p w:rsidR="00CA3A52" w:rsidRDefault="00CA3A52" w:rsidP="00A5074A">
            <w:pPr>
              <w:pStyle w:val="Table"/>
              <w:keepNext/>
              <w:spacing w:beforeLines="40" w:before="96" w:afterLines="40" w:after="96"/>
            </w:pPr>
            <w:r>
              <w:t>1</w:t>
            </w:r>
          </w:p>
        </w:tc>
        <w:tc>
          <w:tcPr>
            <w:tcW w:w="278" w:type="pct"/>
          </w:tcPr>
          <w:p w:rsidR="00CA3A52" w:rsidRDefault="0012582D" w:rsidP="00A5074A">
            <w:pPr>
              <w:pStyle w:val="Table"/>
              <w:keepNext/>
              <w:spacing w:beforeLines="40" w:before="96" w:afterLines="40" w:after="96"/>
            </w:pPr>
            <w:r>
              <w:t>49</w:t>
            </w:r>
          </w:p>
        </w:tc>
        <w:tc>
          <w:tcPr>
            <w:tcW w:w="797" w:type="pct"/>
          </w:tcPr>
          <w:p w:rsidR="00CA3A52" w:rsidRDefault="00DC4AEF" w:rsidP="00A5074A">
            <w:pPr>
              <w:pStyle w:val="Table"/>
              <w:keepNext/>
              <w:spacing w:beforeLines="40" w:before="96" w:afterLines="40" w:after="96"/>
            </w:pPr>
            <w:r>
              <w:t>—</w:t>
            </w:r>
          </w:p>
        </w:tc>
        <w:tc>
          <w:tcPr>
            <w:tcW w:w="602" w:type="pct"/>
          </w:tcPr>
          <w:p w:rsidR="00CA3A52" w:rsidRDefault="00DC4AEF" w:rsidP="00A5074A">
            <w:pPr>
              <w:pStyle w:val="Table"/>
              <w:keepNext/>
              <w:spacing w:beforeLines="40" w:before="96" w:afterLines="40" w:after="96"/>
            </w:pPr>
            <w:r>
              <w:t>—</w:t>
            </w:r>
          </w:p>
        </w:tc>
        <w:tc>
          <w:tcPr>
            <w:tcW w:w="2159" w:type="pct"/>
          </w:tcPr>
          <w:p w:rsidR="00CA3A52" w:rsidRDefault="0012582D" w:rsidP="00A5074A">
            <w:pPr>
              <w:pStyle w:val="Table"/>
              <w:keepNext/>
              <w:spacing w:beforeLines="40" w:before="96" w:afterLines="40" w:after="96"/>
            </w:pPr>
            <w:r>
              <w:t xml:space="preserve">Diclofenac and </w:t>
            </w:r>
            <w:proofErr w:type="spellStart"/>
            <w:r>
              <w:t>imiquimod</w:t>
            </w:r>
            <w:proofErr w:type="spellEnd"/>
            <w:r>
              <w:t xml:space="preserve"> were “equivalent.”</w:t>
            </w:r>
          </w:p>
        </w:tc>
      </w:tr>
      <w:tr w:rsidR="00E321ED" w:rsidTr="0042165F">
        <w:tc>
          <w:tcPr>
            <w:tcW w:w="5000" w:type="pct"/>
            <w:gridSpan w:val="6"/>
            <w:shd w:val="clear" w:color="auto" w:fill="D9D9D9" w:themeFill="background1" w:themeFillShade="D9"/>
          </w:tcPr>
          <w:p w:rsidR="00E321ED" w:rsidRDefault="00E321ED" w:rsidP="00A5074A">
            <w:pPr>
              <w:pStyle w:val="Table"/>
              <w:keepNext/>
              <w:spacing w:beforeLines="40" w:before="96" w:afterLines="40" w:after="96"/>
            </w:pPr>
            <w:r>
              <w:t>Placebo- or Vehicle-controlled Trials</w:t>
            </w:r>
            <w:r w:rsidR="00541FE5">
              <w:t xml:space="preserve">, </w:t>
            </w:r>
            <w:proofErr w:type="spellStart"/>
            <w:r w:rsidR="00541FE5">
              <w:t>Immunocompetent</w:t>
            </w:r>
            <w:proofErr w:type="spellEnd"/>
          </w:p>
        </w:tc>
      </w:tr>
      <w:tr w:rsidR="00541FE5" w:rsidTr="00974EFB">
        <w:tc>
          <w:tcPr>
            <w:tcW w:w="1007" w:type="pct"/>
          </w:tcPr>
          <w:p w:rsidR="00A01B18" w:rsidRDefault="00A01B18" w:rsidP="00A5074A">
            <w:pPr>
              <w:pStyle w:val="Table"/>
              <w:keepNext/>
              <w:spacing w:beforeLines="40" w:before="96" w:afterLines="40" w:after="96"/>
            </w:pPr>
            <w:r>
              <w:t xml:space="preserve">Diclofenac </w:t>
            </w:r>
            <w:r w:rsidR="00DA6171">
              <w:t xml:space="preserve">3% </w:t>
            </w:r>
            <w:r>
              <w:t>in 2.5% Hyaluronic Acid</w:t>
            </w:r>
            <w:r w:rsidR="00F618D2">
              <w:t xml:space="preserve"> / Vehicle</w:t>
            </w:r>
          </w:p>
        </w:tc>
        <w:tc>
          <w:tcPr>
            <w:tcW w:w="157" w:type="pct"/>
          </w:tcPr>
          <w:p w:rsidR="00A01B18" w:rsidRDefault="00A01B18" w:rsidP="00A5074A">
            <w:pPr>
              <w:pStyle w:val="Table"/>
              <w:keepNext/>
              <w:spacing w:beforeLines="40" w:before="96" w:afterLines="40" w:after="96"/>
            </w:pPr>
            <w:r>
              <w:t>3</w:t>
            </w:r>
          </w:p>
        </w:tc>
        <w:tc>
          <w:tcPr>
            <w:tcW w:w="278" w:type="pct"/>
          </w:tcPr>
          <w:p w:rsidR="00A01B18" w:rsidRDefault="00A01B18" w:rsidP="00A5074A">
            <w:pPr>
              <w:pStyle w:val="Table"/>
              <w:keepNext/>
              <w:spacing w:beforeLines="40" w:before="96" w:afterLines="40" w:after="96"/>
            </w:pPr>
            <w:r>
              <w:t>420</w:t>
            </w:r>
          </w:p>
        </w:tc>
        <w:tc>
          <w:tcPr>
            <w:tcW w:w="797" w:type="pct"/>
          </w:tcPr>
          <w:p w:rsidR="00A01B18" w:rsidRDefault="00A01B18" w:rsidP="00A5074A">
            <w:pPr>
              <w:pStyle w:val="Table"/>
              <w:keepNext/>
              <w:spacing w:beforeLines="40" w:before="96" w:afterLines="40" w:after="96"/>
            </w:pPr>
            <w:r>
              <w:t>2.46 (1.66–3.66)</w:t>
            </w:r>
          </w:p>
        </w:tc>
        <w:tc>
          <w:tcPr>
            <w:tcW w:w="602" w:type="pct"/>
          </w:tcPr>
          <w:p w:rsidR="00A01B18" w:rsidRDefault="00A01B18" w:rsidP="00A5074A">
            <w:pPr>
              <w:pStyle w:val="Table"/>
              <w:keepNext/>
              <w:spacing w:beforeLines="40" w:before="96" w:afterLines="40" w:after="96"/>
            </w:pPr>
            <w:r>
              <w:t>Moderate</w:t>
            </w:r>
          </w:p>
        </w:tc>
        <w:tc>
          <w:tcPr>
            <w:tcW w:w="2159" w:type="pct"/>
          </w:tcPr>
          <w:p w:rsidR="00753FB3" w:rsidRDefault="00753FB3" w:rsidP="00A5074A">
            <w:pPr>
              <w:pStyle w:val="Table"/>
              <w:keepNext/>
              <w:spacing w:beforeLines="40" w:before="96" w:afterLines="40" w:after="96"/>
            </w:pPr>
            <w:r>
              <w:t>NNT = </w:t>
            </w:r>
            <w:r w:rsidRPr="00753FB3">
              <w:rPr>
                <w:rFonts w:cs="Arial"/>
                <w:szCs w:val="22"/>
                <w:lang w:val="en"/>
              </w:rPr>
              <w:t>5.4</w:t>
            </w:r>
          </w:p>
          <w:p w:rsidR="00A01B18" w:rsidRDefault="00F618D2" w:rsidP="00A5074A">
            <w:pPr>
              <w:pStyle w:val="Table"/>
              <w:keepNext/>
              <w:spacing w:beforeLines="40" w:before="96" w:afterLines="40" w:after="96"/>
            </w:pPr>
            <w:r>
              <w:t xml:space="preserve">Pooled results from 30-, 60- and 90-d </w:t>
            </w:r>
            <w:proofErr w:type="spellStart"/>
            <w:r>
              <w:t>txs</w:t>
            </w:r>
            <w:proofErr w:type="spellEnd"/>
            <w:r>
              <w:t xml:space="preserve">; assessment taken 30 d after </w:t>
            </w:r>
            <w:proofErr w:type="spellStart"/>
            <w:r>
              <w:t>tx</w:t>
            </w:r>
            <w:proofErr w:type="spellEnd"/>
            <w:r w:rsidR="00753FB3">
              <w:t>.</w:t>
            </w:r>
          </w:p>
        </w:tc>
      </w:tr>
      <w:tr w:rsidR="00541FE5" w:rsidTr="00974EFB">
        <w:tc>
          <w:tcPr>
            <w:tcW w:w="1007" w:type="pct"/>
          </w:tcPr>
          <w:p w:rsidR="00A01B18" w:rsidRDefault="00A01B18" w:rsidP="00A5074A">
            <w:pPr>
              <w:pStyle w:val="Table"/>
              <w:keepNext/>
              <w:spacing w:beforeLines="40" w:before="96" w:afterLines="40" w:after="96"/>
            </w:pPr>
            <w:r>
              <w:t>5-Fluorouracil 0.5% (low strength)</w:t>
            </w:r>
            <w:r w:rsidR="00F618D2">
              <w:t xml:space="preserve"> / Vehicle</w:t>
            </w:r>
            <w:r w:rsidR="00C1275F">
              <w:t xml:space="preserve"> x 1, 2 and 4 </w:t>
            </w:r>
            <w:proofErr w:type="spellStart"/>
            <w:r w:rsidR="00C1275F">
              <w:t>wk</w:t>
            </w:r>
            <w:proofErr w:type="spellEnd"/>
          </w:p>
        </w:tc>
        <w:tc>
          <w:tcPr>
            <w:tcW w:w="157" w:type="pct"/>
          </w:tcPr>
          <w:p w:rsidR="00A01B18" w:rsidRDefault="00A01B18" w:rsidP="00A5074A">
            <w:pPr>
              <w:pStyle w:val="Table"/>
              <w:keepNext/>
              <w:spacing w:beforeLines="40" w:before="96" w:afterLines="40" w:after="96"/>
            </w:pPr>
            <w:r>
              <w:t>3</w:t>
            </w:r>
          </w:p>
        </w:tc>
        <w:tc>
          <w:tcPr>
            <w:tcW w:w="278" w:type="pct"/>
          </w:tcPr>
          <w:p w:rsidR="00A01B18" w:rsidRDefault="00A01B18" w:rsidP="00A5074A">
            <w:pPr>
              <w:pStyle w:val="Table"/>
              <w:keepNext/>
              <w:spacing w:beforeLines="40" w:before="96" w:afterLines="40" w:after="96"/>
            </w:pPr>
            <w:r>
              <w:t>522</w:t>
            </w:r>
          </w:p>
        </w:tc>
        <w:tc>
          <w:tcPr>
            <w:tcW w:w="797" w:type="pct"/>
          </w:tcPr>
          <w:p w:rsidR="00A01B18" w:rsidRDefault="00A01B18" w:rsidP="00A5074A">
            <w:pPr>
              <w:pStyle w:val="Table"/>
              <w:keepNext/>
              <w:spacing w:beforeLines="40" w:before="96" w:afterLines="40" w:after="96"/>
            </w:pPr>
            <w:r>
              <w:t>8.86 (3.67–21.44)</w:t>
            </w:r>
          </w:p>
        </w:tc>
        <w:tc>
          <w:tcPr>
            <w:tcW w:w="602" w:type="pct"/>
          </w:tcPr>
          <w:p w:rsidR="00A01B18" w:rsidRDefault="00F618D2" w:rsidP="00A5074A">
            <w:pPr>
              <w:pStyle w:val="Table"/>
              <w:keepNext/>
              <w:spacing w:beforeLines="40" w:before="96" w:afterLines="40" w:after="96"/>
            </w:pPr>
            <w:r>
              <w:t>High</w:t>
            </w:r>
          </w:p>
        </w:tc>
        <w:tc>
          <w:tcPr>
            <w:tcW w:w="2159" w:type="pct"/>
          </w:tcPr>
          <w:p w:rsidR="00A01B18" w:rsidRDefault="00541FE5" w:rsidP="00A5074A">
            <w:pPr>
              <w:pStyle w:val="Table"/>
              <w:keepNext/>
              <w:spacing w:beforeLines="40" w:before="96" w:afterLines="40" w:after="96"/>
            </w:pPr>
            <w:r>
              <w:t>NNT = 8.5</w:t>
            </w:r>
            <w:r w:rsidR="00A1711D">
              <w:t xml:space="preserve">. </w:t>
            </w:r>
            <w:r w:rsidR="00F618D2">
              <w:t xml:space="preserve">Pooled results from 1-, 2- and 4-wk </w:t>
            </w:r>
            <w:proofErr w:type="spellStart"/>
            <w:r w:rsidR="00F618D2">
              <w:t>txs</w:t>
            </w:r>
            <w:proofErr w:type="spellEnd"/>
            <w:r w:rsidR="00A1711D">
              <w:t>. The review did not include 1% 5FU cream.</w:t>
            </w:r>
          </w:p>
        </w:tc>
      </w:tr>
      <w:tr w:rsidR="00541FE5" w:rsidTr="00974EFB">
        <w:tc>
          <w:tcPr>
            <w:tcW w:w="1007" w:type="pct"/>
          </w:tcPr>
          <w:p w:rsidR="00A01B18" w:rsidRDefault="00A01B18" w:rsidP="00A5074A">
            <w:pPr>
              <w:pStyle w:val="Table"/>
              <w:keepNext/>
              <w:spacing w:beforeLines="40" w:before="96" w:afterLines="40" w:after="96"/>
            </w:pPr>
            <w:proofErr w:type="spellStart"/>
            <w:r>
              <w:t>Imiquimod</w:t>
            </w:r>
            <w:proofErr w:type="spellEnd"/>
            <w:r>
              <w:t xml:space="preserve"> 5%</w:t>
            </w:r>
            <w:r w:rsidR="00F618D2">
              <w:t xml:space="preserve"> / Placebo</w:t>
            </w:r>
            <w:r w:rsidR="00C97915">
              <w:t xml:space="preserve"> x 3x/</w:t>
            </w:r>
            <w:proofErr w:type="spellStart"/>
            <w:r w:rsidR="00C97915">
              <w:t>wk</w:t>
            </w:r>
            <w:proofErr w:type="spellEnd"/>
            <w:r w:rsidR="00C97915">
              <w:t xml:space="preserve"> for 4–16 </w:t>
            </w:r>
            <w:proofErr w:type="spellStart"/>
            <w:r w:rsidR="00C97915">
              <w:t>wk</w:t>
            </w:r>
            <w:proofErr w:type="spellEnd"/>
          </w:p>
        </w:tc>
        <w:tc>
          <w:tcPr>
            <w:tcW w:w="157" w:type="pct"/>
          </w:tcPr>
          <w:p w:rsidR="00A01B18" w:rsidRDefault="00A01B18" w:rsidP="00A5074A">
            <w:pPr>
              <w:pStyle w:val="Table"/>
              <w:keepNext/>
              <w:spacing w:beforeLines="40" w:before="96" w:afterLines="40" w:after="96"/>
            </w:pPr>
            <w:r>
              <w:t>9</w:t>
            </w:r>
          </w:p>
        </w:tc>
        <w:tc>
          <w:tcPr>
            <w:tcW w:w="278" w:type="pct"/>
          </w:tcPr>
          <w:p w:rsidR="00A01B18" w:rsidRDefault="00A01B18" w:rsidP="00A5074A">
            <w:pPr>
              <w:pStyle w:val="Table"/>
              <w:keepNext/>
              <w:spacing w:beforeLines="40" w:before="96" w:afterLines="40" w:after="96"/>
            </w:pPr>
            <w:r>
              <w:t>1871</w:t>
            </w:r>
          </w:p>
        </w:tc>
        <w:tc>
          <w:tcPr>
            <w:tcW w:w="797" w:type="pct"/>
          </w:tcPr>
          <w:p w:rsidR="00A01B18" w:rsidRDefault="00A01B18" w:rsidP="00A5074A">
            <w:pPr>
              <w:pStyle w:val="Table"/>
              <w:keepNext/>
              <w:spacing w:beforeLines="40" w:before="96" w:afterLines="40" w:after="96"/>
            </w:pPr>
            <w:r>
              <w:t>7.70 (4.63–12.79)</w:t>
            </w:r>
          </w:p>
        </w:tc>
        <w:tc>
          <w:tcPr>
            <w:tcW w:w="602" w:type="pct"/>
          </w:tcPr>
          <w:p w:rsidR="00A01B18" w:rsidRDefault="00F618D2" w:rsidP="00A5074A">
            <w:pPr>
              <w:pStyle w:val="Table"/>
              <w:keepNext/>
              <w:spacing w:beforeLines="40" w:before="96" w:afterLines="40" w:after="96"/>
            </w:pPr>
            <w:r>
              <w:t>High</w:t>
            </w:r>
          </w:p>
        </w:tc>
        <w:tc>
          <w:tcPr>
            <w:tcW w:w="2159" w:type="pct"/>
          </w:tcPr>
          <w:p w:rsidR="00541FE5" w:rsidRDefault="00541FE5" w:rsidP="00A5074A">
            <w:pPr>
              <w:pStyle w:val="Table"/>
              <w:keepNext/>
              <w:spacing w:beforeLines="40" w:before="96" w:afterLines="40" w:after="96"/>
            </w:pPr>
            <w:r>
              <w:t>NNT = 8</w:t>
            </w:r>
          </w:p>
          <w:p w:rsidR="00A01B18" w:rsidRDefault="00D3347B" w:rsidP="00A5074A">
            <w:pPr>
              <w:pStyle w:val="Table"/>
              <w:keepNext/>
              <w:spacing w:beforeLines="40" w:before="96" w:afterLines="40" w:after="96"/>
            </w:pPr>
            <w:proofErr w:type="spellStart"/>
            <w:r>
              <w:t>Tx</w:t>
            </w:r>
            <w:proofErr w:type="spellEnd"/>
            <w:r>
              <w:t xml:space="preserve"> was given for 3–24 </w:t>
            </w:r>
            <w:proofErr w:type="spellStart"/>
            <w:r>
              <w:t>wks</w:t>
            </w:r>
            <w:proofErr w:type="spellEnd"/>
            <w:r>
              <w:t xml:space="preserve">; assessments taken at 0–20 </w:t>
            </w:r>
            <w:proofErr w:type="spellStart"/>
            <w:r>
              <w:t>wks</w:t>
            </w:r>
            <w:proofErr w:type="spellEnd"/>
            <w:r>
              <w:t xml:space="preserve"> post-</w:t>
            </w:r>
            <w:proofErr w:type="spellStart"/>
            <w:r>
              <w:t>tx</w:t>
            </w:r>
            <w:proofErr w:type="spellEnd"/>
            <w:r>
              <w:t xml:space="preserve">. </w:t>
            </w:r>
            <w:proofErr w:type="spellStart"/>
            <w:r>
              <w:t>Imiquimod</w:t>
            </w:r>
            <w:proofErr w:type="spellEnd"/>
            <w:r>
              <w:t xml:space="preserve"> 5% h</w:t>
            </w:r>
            <w:r w:rsidR="00A01B18">
              <w:t xml:space="preserve">ad better cosmetic outcomes </w:t>
            </w:r>
            <w:r>
              <w:t>than 5-fluorouracil.</w:t>
            </w:r>
            <w:r w:rsidR="0042165F">
              <w:t xml:space="preserve"> Total number of doses did not seem to affect efficacy.</w:t>
            </w:r>
          </w:p>
        </w:tc>
      </w:tr>
      <w:tr w:rsidR="0042165F" w:rsidTr="00974EFB">
        <w:tc>
          <w:tcPr>
            <w:tcW w:w="1007" w:type="pct"/>
          </w:tcPr>
          <w:p w:rsidR="00C1275F" w:rsidRDefault="00C1275F" w:rsidP="00A5074A">
            <w:pPr>
              <w:pStyle w:val="Table"/>
              <w:keepNext/>
              <w:spacing w:beforeLines="40" w:before="96" w:afterLines="40" w:after="96"/>
            </w:pPr>
            <w:proofErr w:type="spellStart"/>
            <w:r>
              <w:t>Imiquimod</w:t>
            </w:r>
            <w:proofErr w:type="spellEnd"/>
            <w:r>
              <w:t xml:space="preserve"> 3.75% / Placebo</w:t>
            </w:r>
            <w:r w:rsidR="00C97915">
              <w:t xml:space="preserve"> 1x/d for 2 </w:t>
            </w:r>
            <w:proofErr w:type="spellStart"/>
            <w:r w:rsidR="00C97915">
              <w:t>wk</w:t>
            </w:r>
            <w:proofErr w:type="spellEnd"/>
            <w:r w:rsidR="00C97915">
              <w:t xml:space="preserve"> on, 2 </w:t>
            </w:r>
            <w:proofErr w:type="spellStart"/>
            <w:r w:rsidR="00C97915">
              <w:t>wk</w:t>
            </w:r>
            <w:proofErr w:type="spellEnd"/>
            <w:r w:rsidR="00C97915">
              <w:t xml:space="preserve"> off, 2 </w:t>
            </w:r>
            <w:proofErr w:type="spellStart"/>
            <w:r w:rsidR="00C97915">
              <w:t>wk</w:t>
            </w:r>
            <w:proofErr w:type="spellEnd"/>
            <w:r w:rsidR="00C97915">
              <w:t xml:space="preserve"> on (assessed at 8–20 </w:t>
            </w:r>
            <w:proofErr w:type="spellStart"/>
            <w:r w:rsidR="00C97915">
              <w:t>wk</w:t>
            </w:r>
            <w:proofErr w:type="spellEnd"/>
            <w:r w:rsidR="00C97915">
              <w:t xml:space="preserve"> post-</w:t>
            </w:r>
            <w:proofErr w:type="spellStart"/>
            <w:r w:rsidR="00C97915">
              <w:t>tx</w:t>
            </w:r>
            <w:proofErr w:type="spellEnd"/>
            <w:r w:rsidR="00C97915">
              <w:t>)</w:t>
            </w:r>
          </w:p>
        </w:tc>
        <w:tc>
          <w:tcPr>
            <w:tcW w:w="157" w:type="pct"/>
          </w:tcPr>
          <w:p w:rsidR="00C1275F" w:rsidRDefault="00C1275F" w:rsidP="00A5074A">
            <w:pPr>
              <w:pStyle w:val="Table"/>
              <w:keepNext/>
              <w:spacing w:beforeLines="40" w:before="96" w:afterLines="40" w:after="96"/>
            </w:pPr>
            <w:r>
              <w:t>3</w:t>
            </w:r>
          </w:p>
        </w:tc>
        <w:tc>
          <w:tcPr>
            <w:tcW w:w="278" w:type="pct"/>
          </w:tcPr>
          <w:p w:rsidR="00C1275F" w:rsidRDefault="00C1275F" w:rsidP="00A5074A">
            <w:pPr>
              <w:pStyle w:val="Table"/>
              <w:keepNext/>
              <w:spacing w:beforeLines="40" w:before="96" w:afterLines="40" w:after="96"/>
            </w:pPr>
            <w:r>
              <w:t>730</w:t>
            </w:r>
          </w:p>
        </w:tc>
        <w:tc>
          <w:tcPr>
            <w:tcW w:w="797" w:type="pct"/>
          </w:tcPr>
          <w:p w:rsidR="00C1275F" w:rsidRDefault="00C1275F" w:rsidP="00A5074A">
            <w:pPr>
              <w:pStyle w:val="Table"/>
              <w:keepNext/>
              <w:spacing w:beforeLines="40" w:before="96" w:afterLines="40" w:after="96"/>
            </w:pPr>
            <w:r>
              <w:t>6.45 (3.87–10.73)</w:t>
            </w:r>
          </w:p>
        </w:tc>
        <w:tc>
          <w:tcPr>
            <w:tcW w:w="602" w:type="pct"/>
          </w:tcPr>
          <w:p w:rsidR="00C1275F" w:rsidRDefault="00C1275F" w:rsidP="00A5074A">
            <w:pPr>
              <w:pStyle w:val="Table"/>
              <w:keepNext/>
              <w:spacing w:beforeLines="40" w:before="96" w:afterLines="40" w:after="96"/>
            </w:pPr>
            <w:r>
              <w:t>High</w:t>
            </w:r>
          </w:p>
        </w:tc>
        <w:tc>
          <w:tcPr>
            <w:tcW w:w="2159" w:type="pct"/>
          </w:tcPr>
          <w:p w:rsidR="00C1275F" w:rsidRDefault="0062219D" w:rsidP="00A5074A">
            <w:pPr>
              <w:pStyle w:val="Table"/>
              <w:keepNext/>
              <w:spacing w:beforeLines="40" w:before="96" w:afterLines="40" w:after="96"/>
            </w:pPr>
            <w:r>
              <w:t xml:space="preserve">3.75% </w:t>
            </w:r>
            <w:proofErr w:type="spellStart"/>
            <w:r>
              <w:t>imiquimod</w:t>
            </w:r>
            <w:proofErr w:type="spellEnd"/>
            <w:r>
              <w:t xml:space="preserve"> given once daily may be more efficient than 5% </w:t>
            </w:r>
            <w:proofErr w:type="spellStart"/>
            <w:r>
              <w:t>imiquimod</w:t>
            </w:r>
            <w:proofErr w:type="spellEnd"/>
            <w:r>
              <w:t xml:space="preserve"> given twice weekly.</w:t>
            </w:r>
          </w:p>
        </w:tc>
      </w:tr>
      <w:tr w:rsidR="00541FE5" w:rsidTr="00974EFB">
        <w:tc>
          <w:tcPr>
            <w:tcW w:w="1007" w:type="pct"/>
          </w:tcPr>
          <w:p w:rsidR="00A01B18" w:rsidRDefault="00A01B18" w:rsidP="00A5074A">
            <w:pPr>
              <w:pStyle w:val="Table"/>
              <w:keepNext/>
              <w:spacing w:beforeLines="40" w:before="96" w:afterLines="40" w:after="96"/>
            </w:pPr>
            <w:proofErr w:type="spellStart"/>
            <w:r>
              <w:t>Ingenol</w:t>
            </w:r>
            <w:proofErr w:type="spellEnd"/>
            <w:r>
              <w:t xml:space="preserve"> </w:t>
            </w:r>
            <w:proofErr w:type="spellStart"/>
            <w:r>
              <w:t>mebutate</w:t>
            </w:r>
            <w:proofErr w:type="spellEnd"/>
            <w:r w:rsidR="004E5615">
              <w:t xml:space="preserve"> 0.01%–0.05% / Vehicle</w:t>
            </w:r>
            <w:r w:rsidR="00DA6171">
              <w:t xml:space="preserve">  1x/d for 2–3 d </w:t>
            </w:r>
          </w:p>
        </w:tc>
        <w:tc>
          <w:tcPr>
            <w:tcW w:w="157" w:type="pct"/>
          </w:tcPr>
          <w:p w:rsidR="00A01B18" w:rsidRDefault="00A01B18" w:rsidP="00A5074A">
            <w:pPr>
              <w:pStyle w:val="Table"/>
              <w:keepNext/>
              <w:spacing w:beforeLines="40" w:before="96" w:afterLines="40" w:after="96"/>
            </w:pPr>
            <w:r>
              <w:t>2</w:t>
            </w:r>
          </w:p>
        </w:tc>
        <w:tc>
          <w:tcPr>
            <w:tcW w:w="278" w:type="pct"/>
          </w:tcPr>
          <w:p w:rsidR="00A01B18" w:rsidRDefault="00A01B18" w:rsidP="00A5074A">
            <w:pPr>
              <w:pStyle w:val="Table"/>
              <w:keepNext/>
              <w:spacing w:beforeLines="40" w:before="96" w:afterLines="40" w:after="96"/>
            </w:pPr>
            <w:r>
              <w:t>456</w:t>
            </w:r>
          </w:p>
        </w:tc>
        <w:tc>
          <w:tcPr>
            <w:tcW w:w="797" w:type="pct"/>
          </w:tcPr>
          <w:p w:rsidR="00A01B18" w:rsidRDefault="00A01B18" w:rsidP="00A5074A">
            <w:pPr>
              <w:pStyle w:val="Table"/>
              <w:keepNext/>
              <w:spacing w:beforeLines="40" w:before="96" w:afterLines="40" w:after="96"/>
            </w:pPr>
            <w:r>
              <w:t>4.50 (2.61–7.74)</w:t>
            </w:r>
          </w:p>
        </w:tc>
        <w:tc>
          <w:tcPr>
            <w:tcW w:w="602" w:type="pct"/>
          </w:tcPr>
          <w:p w:rsidR="00A01B18" w:rsidRDefault="00BF5FBC" w:rsidP="00A5074A">
            <w:pPr>
              <w:pStyle w:val="Table"/>
              <w:keepNext/>
              <w:spacing w:beforeLines="40" w:before="96" w:afterLines="40" w:after="96"/>
            </w:pPr>
            <w:r>
              <w:t>[High]</w:t>
            </w:r>
            <w:r w:rsidR="0015633B">
              <w:t>*</w:t>
            </w:r>
          </w:p>
        </w:tc>
        <w:tc>
          <w:tcPr>
            <w:tcW w:w="2159" w:type="pct"/>
          </w:tcPr>
          <w:p w:rsidR="00207428" w:rsidRDefault="004E5615" w:rsidP="00A5074A">
            <w:pPr>
              <w:pStyle w:val="Table"/>
              <w:keepNext/>
              <w:spacing w:beforeLines="40" w:before="96" w:afterLines="40" w:after="96"/>
            </w:pPr>
            <w:r>
              <w:t>NNT</w:t>
            </w:r>
            <w:r w:rsidR="00753FB3">
              <w:t> </w:t>
            </w:r>
            <w:r>
              <w:t>=</w:t>
            </w:r>
            <w:r w:rsidR="00753FB3">
              <w:t> </w:t>
            </w:r>
            <w:r>
              <w:t>3.4</w:t>
            </w:r>
            <w:r w:rsidR="00782A38">
              <w:t xml:space="preserve"> (Calc. 95% CI 3–5)</w:t>
            </w:r>
            <w:r>
              <w:t>.</w:t>
            </w:r>
          </w:p>
          <w:p w:rsidR="004E5615" w:rsidRDefault="00BC7394" w:rsidP="00A5074A">
            <w:pPr>
              <w:pStyle w:val="Table"/>
              <w:keepNext/>
              <w:spacing w:beforeLines="40" w:before="96" w:afterLines="40" w:after="96"/>
            </w:pPr>
            <w:r>
              <w:t>For changes in pigmentation (cosmetic outcomes), 95% CIs overlapped (0.01% and 0.05% gels)</w:t>
            </w:r>
            <w:r w:rsidR="004E5615">
              <w:t>.</w:t>
            </w:r>
          </w:p>
        </w:tc>
      </w:tr>
      <w:tr w:rsidR="00541FE5" w:rsidTr="0042165F">
        <w:tc>
          <w:tcPr>
            <w:tcW w:w="5000" w:type="pct"/>
            <w:gridSpan w:val="6"/>
            <w:shd w:val="clear" w:color="auto" w:fill="D9D9D9" w:themeFill="background1" w:themeFillShade="D9"/>
          </w:tcPr>
          <w:p w:rsidR="00541FE5" w:rsidRDefault="00541FE5" w:rsidP="00A5074A">
            <w:pPr>
              <w:pStyle w:val="Table"/>
              <w:keepNext/>
              <w:spacing w:beforeLines="40" w:before="96" w:afterLines="40" w:after="96"/>
            </w:pPr>
            <w:r>
              <w:t>Placebo- or Vehicle-controlled Trials, Immunocompromised</w:t>
            </w:r>
            <w:r w:rsidR="0042165F">
              <w:t xml:space="preserve"> </w:t>
            </w:r>
          </w:p>
        </w:tc>
      </w:tr>
      <w:tr w:rsidR="00541FE5" w:rsidTr="00974EFB">
        <w:tc>
          <w:tcPr>
            <w:tcW w:w="1007" w:type="pct"/>
          </w:tcPr>
          <w:p w:rsidR="00541FE5" w:rsidRDefault="00541FE5" w:rsidP="00A5074A">
            <w:pPr>
              <w:pStyle w:val="Table"/>
              <w:keepNext/>
              <w:spacing w:beforeLines="40" w:before="96" w:afterLines="40" w:after="96"/>
            </w:pPr>
            <w:proofErr w:type="spellStart"/>
            <w:r>
              <w:t>Imiquimod</w:t>
            </w:r>
            <w:proofErr w:type="spellEnd"/>
            <w:r>
              <w:t xml:space="preserve"> 5% / Placebo</w:t>
            </w:r>
          </w:p>
        </w:tc>
        <w:tc>
          <w:tcPr>
            <w:tcW w:w="157" w:type="pct"/>
          </w:tcPr>
          <w:p w:rsidR="00541FE5" w:rsidRDefault="0042165F" w:rsidP="00A5074A">
            <w:pPr>
              <w:pStyle w:val="Table"/>
              <w:keepNext/>
              <w:spacing w:beforeLines="40" w:before="96" w:afterLines="40" w:after="96"/>
            </w:pPr>
            <w:r>
              <w:t>1</w:t>
            </w:r>
          </w:p>
        </w:tc>
        <w:tc>
          <w:tcPr>
            <w:tcW w:w="278" w:type="pct"/>
          </w:tcPr>
          <w:p w:rsidR="00541FE5" w:rsidRDefault="0042165F" w:rsidP="00A5074A">
            <w:pPr>
              <w:pStyle w:val="Table"/>
              <w:keepNext/>
              <w:spacing w:beforeLines="40" w:before="96" w:afterLines="40" w:after="96"/>
            </w:pPr>
            <w:r>
              <w:t>43</w:t>
            </w:r>
          </w:p>
        </w:tc>
        <w:tc>
          <w:tcPr>
            <w:tcW w:w="797" w:type="pct"/>
          </w:tcPr>
          <w:p w:rsidR="00541FE5" w:rsidRDefault="00541FE5" w:rsidP="00A5074A">
            <w:pPr>
              <w:pStyle w:val="Table"/>
              <w:keepNext/>
              <w:spacing w:beforeLines="40" w:before="96" w:afterLines="40" w:after="96"/>
            </w:pPr>
            <w:r>
              <w:t>18.5 (1.</w:t>
            </w:r>
            <w:r w:rsidR="0042165F">
              <w:t>2</w:t>
            </w:r>
            <w:r>
              <w:t xml:space="preserve"> to 286.4)</w:t>
            </w:r>
          </w:p>
        </w:tc>
        <w:tc>
          <w:tcPr>
            <w:tcW w:w="602" w:type="pct"/>
          </w:tcPr>
          <w:p w:rsidR="00541FE5" w:rsidRDefault="00653430" w:rsidP="00A5074A">
            <w:pPr>
              <w:pStyle w:val="Table"/>
              <w:keepNext/>
              <w:spacing w:beforeLines="40" w:before="96" w:afterLines="40" w:after="96"/>
            </w:pPr>
            <w:r>
              <w:t>Not reported</w:t>
            </w:r>
          </w:p>
        </w:tc>
        <w:tc>
          <w:tcPr>
            <w:tcW w:w="2159" w:type="pct"/>
          </w:tcPr>
          <w:p w:rsidR="0042165F" w:rsidRDefault="00541FE5" w:rsidP="00A5074A">
            <w:pPr>
              <w:pStyle w:val="Table"/>
              <w:keepNext/>
              <w:spacing w:beforeLines="40" w:before="96" w:afterLines="40" w:after="96"/>
            </w:pPr>
            <w:r>
              <w:t>NNT not calculable. No placebo patient achieved complete clearance.</w:t>
            </w:r>
          </w:p>
        </w:tc>
      </w:tr>
    </w:tbl>
    <w:p w:rsidR="00DE1692" w:rsidRDefault="00207428" w:rsidP="00A5074A">
      <w:pPr>
        <w:pStyle w:val="TableFootnote"/>
        <w:spacing w:beforeLines="40" w:before="96" w:afterLines="40" w:after="96"/>
      </w:pPr>
      <w:r>
        <w:t>K, Number of RCTs</w:t>
      </w:r>
    </w:p>
    <w:p w:rsidR="00207428" w:rsidRDefault="0015633B" w:rsidP="00A5074A">
      <w:pPr>
        <w:pStyle w:val="TableFootnote"/>
        <w:spacing w:beforeLines="40" w:before="96" w:afterLines="40" w:after="96"/>
        <w:ind w:left="180" w:right="1440" w:hanging="180"/>
      </w:pPr>
      <w:r>
        <w:t>*</w:t>
      </w:r>
      <w:r w:rsidR="00BF5FBC" w:rsidRPr="00BF5FBC">
        <w:t xml:space="preserve"> </w:t>
      </w:r>
      <w:r w:rsidR="00653430">
        <w:tab/>
      </w:r>
      <w:r w:rsidR="00BF5FBC">
        <w:t xml:space="preserve">The quality of the four </w:t>
      </w:r>
      <w:proofErr w:type="spellStart"/>
      <w:r w:rsidR="00BF5FBC">
        <w:t>ingenol</w:t>
      </w:r>
      <w:proofErr w:type="spellEnd"/>
      <w:r w:rsidR="00BF5FBC">
        <w:t xml:space="preserve"> </w:t>
      </w:r>
      <w:proofErr w:type="spellStart"/>
      <w:r w:rsidR="00BF5FBC">
        <w:t>mebutate</w:t>
      </w:r>
      <w:proofErr w:type="spellEnd"/>
      <w:r w:rsidR="00BF5FBC">
        <w:t xml:space="preserve"> trials (</w:t>
      </w:r>
      <w:proofErr w:type="spellStart"/>
      <w:r w:rsidR="00BF5FBC">
        <w:t>Lebwohl</w:t>
      </w:r>
      <w:proofErr w:type="spellEnd"/>
      <w:r w:rsidR="00BF5FBC">
        <w:t>, et al., 2012) was not reported by Gupta, et al. (2012).</w:t>
      </w:r>
      <w:r w:rsidR="00653430">
        <w:t xml:space="preserve"> Author of this monograph assessed the quality as high.</w:t>
      </w:r>
    </w:p>
    <w:p w:rsidR="00AE40EE" w:rsidRDefault="00AE40EE" w:rsidP="004153E9">
      <w:pPr>
        <w:pStyle w:val="TableFootnote"/>
        <w:ind w:right="1440"/>
      </w:pPr>
    </w:p>
    <w:p w:rsidR="00AE40EE" w:rsidRDefault="00AE40EE" w:rsidP="00AE40EE">
      <w:pPr>
        <w:pStyle w:val="Header"/>
        <w:tabs>
          <w:tab w:val="clear" w:pos="4320"/>
          <w:tab w:val="clear" w:pos="8640"/>
        </w:tabs>
      </w:pPr>
      <w:r>
        <w:t xml:space="preserve">Based on point estimates of relative risks for participant complete clearance, the order of topical drug efficacy from highest to lowest seems to be 5-fluorouracil 0.5%, </w:t>
      </w:r>
      <w:proofErr w:type="spellStart"/>
      <w:r>
        <w:t>imiquimod</w:t>
      </w:r>
      <w:proofErr w:type="spellEnd"/>
      <w:r>
        <w:t xml:space="preserve">, </w:t>
      </w:r>
      <w:proofErr w:type="spellStart"/>
      <w:r>
        <w:t>ingenol</w:t>
      </w:r>
      <w:proofErr w:type="spellEnd"/>
      <w:r>
        <w:t xml:space="preserve"> </w:t>
      </w:r>
      <w:proofErr w:type="spellStart"/>
      <w:r>
        <w:t>mebutate</w:t>
      </w:r>
      <w:proofErr w:type="spellEnd"/>
      <w:r>
        <w:t xml:space="preserve">, followed by diclofenac. Based on 95% CIs, 5-fluorouracil and </w:t>
      </w:r>
      <w:proofErr w:type="spellStart"/>
      <w:r>
        <w:t>imiquimod</w:t>
      </w:r>
      <w:proofErr w:type="spellEnd"/>
      <w:r>
        <w:t xml:space="preserve"> each seems to be better than diclofenac (CIs do not overlap). Preliminary data from direct comparisons between 5-fluorouracil and </w:t>
      </w:r>
      <w:proofErr w:type="spellStart"/>
      <w:r>
        <w:t>imiquimod</w:t>
      </w:r>
      <w:proofErr w:type="spellEnd"/>
      <w:r>
        <w:t xml:space="preserve"> (2 RCTs with no or assessor-only blinding) suggest that 5-fluorouracil may produce a higher rate of complete clearance; however, these results need to be confirmed with additional studies. </w:t>
      </w:r>
    </w:p>
    <w:p w:rsidR="00AE40EE" w:rsidRDefault="00AE40EE" w:rsidP="00AE40EE">
      <w:pPr>
        <w:pStyle w:val="Header"/>
        <w:tabs>
          <w:tab w:val="clear" w:pos="4320"/>
          <w:tab w:val="clear" w:pos="8640"/>
        </w:tabs>
      </w:pPr>
      <w:r>
        <w:t xml:space="preserve">The 95% CIs for 3-day treatment with </w:t>
      </w:r>
      <w:proofErr w:type="spellStart"/>
      <w:r>
        <w:t>ingenol</w:t>
      </w:r>
      <w:proofErr w:type="spellEnd"/>
      <w:r>
        <w:t xml:space="preserve"> </w:t>
      </w:r>
      <w:proofErr w:type="spellStart"/>
      <w:r>
        <w:t>mebutate</w:t>
      </w:r>
      <w:proofErr w:type="spellEnd"/>
      <w:r>
        <w:t xml:space="preserve"> overlap with those for longer treatment courses with each of the other agents; therefore, one cannot conclude that there are differences between </w:t>
      </w:r>
      <w:proofErr w:type="spellStart"/>
      <w:r>
        <w:t>ingenol</w:t>
      </w:r>
      <w:proofErr w:type="spellEnd"/>
      <w:r>
        <w:t xml:space="preserve"> </w:t>
      </w:r>
      <w:proofErr w:type="spellStart"/>
      <w:r>
        <w:t>mebutate</w:t>
      </w:r>
      <w:proofErr w:type="spellEnd"/>
      <w:r>
        <w:t xml:space="preserve"> and the other therapies. Similar benefits were obtained despite a shorter course of therapy with </w:t>
      </w:r>
      <w:proofErr w:type="spellStart"/>
      <w:r>
        <w:t>ingenol</w:t>
      </w:r>
      <w:proofErr w:type="spellEnd"/>
      <w:r>
        <w:t xml:space="preserve"> </w:t>
      </w:r>
      <w:proofErr w:type="spellStart"/>
      <w:r>
        <w:t>mebutate</w:t>
      </w:r>
      <w:proofErr w:type="spellEnd"/>
      <w:r>
        <w:t>.</w:t>
      </w:r>
    </w:p>
    <w:p w:rsidR="00346C5B" w:rsidRDefault="00346C5B">
      <w:pPr>
        <w:pStyle w:val="Header"/>
        <w:tabs>
          <w:tab w:val="clear" w:pos="4320"/>
          <w:tab w:val="clear" w:pos="8640"/>
        </w:tabs>
      </w:pPr>
    </w:p>
    <w:p w:rsidR="00537E8D" w:rsidRDefault="00537E8D">
      <w:pPr>
        <w:pStyle w:val="Heading1"/>
      </w:pPr>
      <w:r>
        <w:t>Adverse Events (Safety Data)</w:t>
      </w:r>
    </w:p>
    <w:p w:rsidR="009E4E80" w:rsidRDefault="00351AE4" w:rsidP="009E4E80">
      <w:r>
        <w:t xml:space="preserve">Safety data from clinical trials reflect the experience of 499 subjects treated with </w:t>
      </w:r>
      <w:proofErr w:type="spellStart"/>
      <w:r>
        <w:t>ingenol</w:t>
      </w:r>
      <w:proofErr w:type="spellEnd"/>
      <w:r>
        <w:t xml:space="preserve"> </w:t>
      </w:r>
      <w:proofErr w:type="spellStart"/>
      <w:r>
        <w:t>mebutate</w:t>
      </w:r>
      <w:proofErr w:type="spellEnd"/>
      <w:r>
        <w:t xml:space="preserve"> gel </w:t>
      </w:r>
      <w:r w:rsidR="00CA05E7">
        <w:t xml:space="preserve">at the recommended dosing regimen </w:t>
      </w:r>
      <w:r>
        <w:t>for AK (</w:t>
      </w:r>
      <w:r w:rsidR="00CA05E7">
        <w:t xml:space="preserve">0.015% gel in </w:t>
      </w:r>
      <w:r>
        <w:t xml:space="preserve">274 subjects with face or scalp lesions; </w:t>
      </w:r>
      <w:r w:rsidR="00CA05E7">
        <w:t xml:space="preserve">0.05% gel in </w:t>
      </w:r>
      <w:r>
        <w:t>225 subjects with trunk or extremity lesions).</w:t>
      </w:r>
    </w:p>
    <w:p w:rsidR="00537E8D" w:rsidRDefault="00853E9F">
      <w:r>
        <w:t xml:space="preserve">Long-term (12-month) data were available on 108 subjects with AK of the face or scalp, and 38 subjects with AK of the trunk or extremities. </w:t>
      </w:r>
    </w:p>
    <w:p w:rsidR="00537E8D" w:rsidRDefault="00537E8D">
      <w:pPr>
        <w:pStyle w:val="Heading2"/>
      </w:pPr>
      <w:r>
        <w:t xml:space="preserve">Deaths and Other Serious Adverse Events </w:t>
      </w:r>
    </w:p>
    <w:p w:rsidR="00CC37DB" w:rsidRPr="00CC37DB" w:rsidRDefault="00406DBF" w:rsidP="00CC37DB">
      <w:pPr>
        <w:rPr>
          <w:sz w:val="20"/>
        </w:rPr>
      </w:pPr>
      <w:r>
        <w:t>None reported.</w:t>
      </w:r>
    </w:p>
    <w:p w:rsidR="00537E8D" w:rsidRDefault="00CC37DB" w:rsidP="00CC37DB">
      <w:pPr>
        <w:pStyle w:val="Heading2"/>
      </w:pPr>
      <w:r>
        <w:t>Withdrawals Due to Adverse Events</w:t>
      </w:r>
    </w:p>
    <w:p w:rsidR="00A5074A" w:rsidRDefault="00A5074A">
      <w:r>
        <w:t xml:space="preserve">There were no differences between </w:t>
      </w:r>
      <w:proofErr w:type="spellStart"/>
      <w:r>
        <w:t>ingenol</w:t>
      </w:r>
      <w:proofErr w:type="spellEnd"/>
      <w:r>
        <w:t xml:space="preserve"> </w:t>
      </w:r>
      <w:proofErr w:type="spellStart"/>
      <w:r>
        <w:t>mebutate</w:t>
      </w:r>
      <w:proofErr w:type="spellEnd"/>
      <w:r>
        <w:t xml:space="preserve"> and vehicle </w:t>
      </w:r>
      <w:proofErr w:type="gramStart"/>
      <w:r>
        <w:t>groups  in</w:t>
      </w:r>
      <w:proofErr w:type="gramEnd"/>
      <w:r>
        <w:t xml:space="preserve"> the rates of withdrawals due to adverse events in both the face and scal</w:t>
      </w:r>
      <w:r w:rsidR="00DB1322">
        <w:t>p trial (0.4% in each treatment group) and the trunk and extremity trial (0.9% in each treatment group).</w:t>
      </w:r>
      <w:r w:rsidR="00DB1322" w:rsidRPr="00DB1322">
        <w:rPr>
          <w:vertAlign w:val="superscript"/>
        </w:rPr>
        <w:fldChar w:fldCharType="begin"/>
      </w:r>
      <w:r w:rsidR="00DB1322" w:rsidRPr="00DB1322">
        <w:rPr>
          <w:vertAlign w:val="superscript"/>
        </w:rPr>
        <w:instrText xml:space="preserve"> NOTEREF _Ref379373846 \h </w:instrText>
      </w:r>
      <w:r w:rsidR="00DB1322">
        <w:rPr>
          <w:vertAlign w:val="superscript"/>
        </w:rPr>
        <w:instrText xml:space="preserve"> \* MERGEFORMAT </w:instrText>
      </w:r>
      <w:r w:rsidR="00DB1322" w:rsidRPr="00DB1322">
        <w:rPr>
          <w:vertAlign w:val="superscript"/>
        </w:rPr>
      </w:r>
      <w:r w:rsidR="00DB1322" w:rsidRPr="00DB1322">
        <w:rPr>
          <w:vertAlign w:val="superscript"/>
        </w:rPr>
        <w:fldChar w:fldCharType="separate"/>
      </w:r>
      <w:r w:rsidR="00DB1322" w:rsidRPr="00DB1322">
        <w:rPr>
          <w:vertAlign w:val="superscript"/>
        </w:rPr>
        <w:t>15</w:t>
      </w:r>
      <w:r w:rsidR="00DB1322" w:rsidRPr="00DB1322">
        <w:rPr>
          <w:vertAlign w:val="superscript"/>
        </w:rPr>
        <w:fldChar w:fldCharType="end"/>
      </w:r>
    </w:p>
    <w:p w:rsidR="00CC37DB" w:rsidRDefault="00CC37DB">
      <w:r>
        <w:t>According to the Cochrane review by Gupta (2012),</w:t>
      </w:r>
      <w:r w:rsidRPr="00CC37DB">
        <w:rPr>
          <w:vertAlign w:val="superscript"/>
        </w:rPr>
        <w:fldChar w:fldCharType="begin"/>
      </w:r>
      <w:r w:rsidRPr="00CC37DB">
        <w:rPr>
          <w:vertAlign w:val="superscript"/>
        </w:rPr>
        <w:instrText xml:space="preserve"> NOTEREF _Ref374352949 \h </w:instrText>
      </w:r>
      <w:r>
        <w:rPr>
          <w:vertAlign w:val="superscript"/>
        </w:rPr>
        <w:instrText xml:space="preserve"> \* MERGEFORMAT </w:instrText>
      </w:r>
      <w:r w:rsidRPr="00CC37DB">
        <w:rPr>
          <w:vertAlign w:val="superscript"/>
        </w:rPr>
      </w:r>
      <w:r w:rsidRPr="00CC37DB">
        <w:rPr>
          <w:vertAlign w:val="superscript"/>
        </w:rPr>
        <w:fldChar w:fldCharType="separate"/>
      </w:r>
      <w:r w:rsidR="00D93D73">
        <w:rPr>
          <w:vertAlign w:val="superscript"/>
        </w:rPr>
        <w:t>19</w:t>
      </w:r>
      <w:r w:rsidRPr="00CC37DB">
        <w:rPr>
          <w:vertAlign w:val="superscript"/>
        </w:rPr>
        <w:fldChar w:fldCharType="end"/>
      </w:r>
      <w:r>
        <w:t xml:space="preserve"> no withdrawals due to adverse events were reported in two studies</w:t>
      </w:r>
      <w:r w:rsidR="00312572">
        <w:t xml:space="preserve"> (total N=285)</w:t>
      </w:r>
      <w:r>
        <w:t>,</w:t>
      </w:r>
      <w:r w:rsidRPr="00CC37DB">
        <w:rPr>
          <w:vertAlign w:val="superscript"/>
        </w:rPr>
        <w:fldChar w:fldCharType="begin"/>
      </w:r>
      <w:r w:rsidRPr="00CC37DB">
        <w:rPr>
          <w:vertAlign w:val="superscript"/>
        </w:rPr>
        <w:instrText xml:space="preserve"> NOTEREF _Ref374352810 \h </w:instrText>
      </w:r>
      <w:r>
        <w:rPr>
          <w:vertAlign w:val="superscript"/>
        </w:rPr>
        <w:instrText xml:space="preserve"> \* MERGEFORMAT </w:instrText>
      </w:r>
      <w:r w:rsidRPr="00CC37DB">
        <w:rPr>
          <w:vertAlign w:val="superscript"/>
        </w:rPr>
      </w:r>
      <w:r w:rsidRPr="00CC37DB">
        <w:rPr>
          <w:vertAlign w:val="superscript"/>
        </w:rPr>
        <w:fldChar w:fldCharType="separate"/>
      </w:r>
      <w:r w:rsidR="00D93D73">
        <w:rPr>
          <w:vertAlign w:val="superscript"/>
        </w:rPr>
        <w:t>20</w:t>
      </w:r>
      <w:r w:rsidRPr="00CC37DB">
        <w:rPr>
          <w:vertAlign w:val="superscript"/>
        </w:rPr>
        <w:fldChar w:fldCharType="end"/>
      </w:r>
      <w:r w:rsidRPr="00CC37DB">
        <w:rPr>
          <w:vertAlign w:val="superscript"/>
        </w:rPr>
        <w:t>,</w:t>
      </w:r>
      <w:r w:rsidRPr="00CC37DB">
        <w:rPr>
          <w:vertAlign w:val="superscript"/>
        </w:rPr>
        <w:fldChar w:fldCharType="begin"/>
      </w:r>
      <w:r w:rsidRPr="00CC37DB">
        <w:rPr>
          <w:vertAlign w:val="superscript"/>
        </w:rPr>
        <w:instrText xml:space="preserve"> NOTEREF _Ref374352813 \h </w:instrText>
      </w:r>
      <w:r>
        <w:rPr>
          <w:vertAlign w:val="superscript"/>
        </w:rPr>
        <w:instrText xml:space="preserve"> \* MERGEFORMAT </w:instrText>
      </w:r>
      <w:r w:rsidRPr="00CC37DB">
        <w:rPr>
          <w:vertAlign w:val="superscript"/>
        </w:rPr>
      </w:r>
      <w:r w:rsidRPr="00CC37DB">
        <w:rPr>
          <w:vertAlign w:val="superscript"/>
        </w:rPr>
        <w:fldChar w:fldCharType="separate"/>
      </w:r>
      <w:r w:rsidR="00D93D73">
        <w:rPr>
          <w:vertAlign w:val="superscript"/>
        </w:rPr>
        <w:t>22</w:t>
      </w:r>
      <w:r w:rsidRPr="00CC37DB">
        <w:rPr>
          <w:vertAlign w:val="superscript"/>
        </w:rPr>
        <w:fldChar w:fldCharType="end"/>
      </w:r>
      <w:r>
        <w:t xml:space="preserve"> and 1 of 255 (0.4%) study patients withdrew due to an adverse event (pain) in a third study; however, the assigned treatment group was not identified.</w:t>
      </w:r>
      <w:r w:rsidRPr="00CC37DB">
        <w:rPr>
          <w:vertAlign w:val="superscript"/>
        </w:rPr>
        <w:fldChar w:fldCharType="begin"/>
      </w:r>
      <w:r w:rsidRPr="00CC37DB">
        <w:rPr>
          <w:vertAlign w:val="superscript"/>
        </w:rPr>
        <w:instrText xml:space="preserve"> NOTEREF _Ref374352916 \h </w:instrText>
      </w:r>
      <w:r>
        <w:rPr>
          <w:vertAlign w:val="superscript"/>
        </w:rPr>
        <w:instrText xml:space="preserve"> \* MERGEFORMAT </w:instrText>
      </w:r>
      <w:r w:rsidRPr="00CC37DB">
        <w:rPr>
          <w:vertAlign w:val="superscript"/>
        </w:rPr>
      </w:r>
      <w:r w:rsidRPr="00CC37DB">
        <w:rPr>
          <w:vertAlign w:val="superscript"/>
        </w:rPr>
        <w:fldChar w:fldCharType="separate"/>
      </w:r>
      <w:r w:rsidR="00D93D73">
        <w:rPr>
          <w:vertAlign w:val="superscript"/>
        </w:rPr>
        <w:t>21</w:t>
      </w:r>
      <w:r w:rsidRPr="00CC37DB">
        <w:rPr>
          <w:vertAlign w:val="superscript"/>
        </w:rPr>
        <w:fldChar w:fldCharType="end"/>
      </w:r>
      <w:r w:rsidR="00490902">
        <w:t xml:space="preserve"> </w:t>
      </w:r>
      <w:r w:rsidR="001B4F21">
        <w:t xml:space="preserve">Findings are summarized in </w:t>
      </w:r>
      <w:r w:rsidR="001B4F21">
        <w:fldChar w:fldCharType="begin"/>
      </w:r>
      <w:r w:rsidR="001B4F21">
        <w:instrText xml:space="preserve"> REF _Ref379462649 \h </w:instrText>
      </w:r>
      <w:r w:rsidR="001B4F21">
        <w:fldChar w:fldCharType="separate"/>
      </w:r>
      <w:r w:rsidR="001B4F21">
        <w:t xml:space="preserve">Table </w:t>
      </w:r>
      <w:r w:rsidR="001B4F21">
        <w:rPr>
          <w:noProof/>
        </w:rPr>
        <w:t>8</w:t>
      </w:r>
      <w:r w:rsidR="001B4F21">
        <w:fldChar w:fldCharType="end"/>
      </w:r>
      <w:r w:rsidR="001B4F21">
        <w:t>.</w:t>
      </w:r>
    </w:p>
    <w:p w:rsidR="00CA3A52" w:rsidRDefault="00CA3A52" w:rsidP="00CA3A52">
      <w:pPr>
        <w:pStyle w:val="Caption"/>
      </w:pPr>
      <w:bookmarkStart w:id="16" w:name="_Ref379462649"/>
      <w:r>
        <w:t xml:space="preserve">Table </w:t>
      </w:r>
      <w:r w:rsidR="00017C36">
        <w:fldChar w:fldCharType="begin"/>
      </w:r>
      <w:r w:rsidR="00017C36">
        <w:instrText xml:space="preserve"> SEQ Table \* ARABIC </w:instrText>
      </w:r>
      <w:r w:rsidR="00017C36">
        <w:fldChar w:fldCharType="separate"/>
      </w:r>
      <w:r w:rsidR="00D93D73">
        <w:rPr>
          <w:noProof/>
        </w:rPr>
        <w:t>8</w:t>
      </w:r>
      <w:r w:rsidR="00017C36">
        <w:rPr>
          <w:noProof/>
        </w:rPr>
        <w:fldChar w:fldCharType="end"/>
      </w:r>
      <w:bookmarkEnd w:id="16"/>
      <w:r>
        <w:tab/>
        <w:t>Results of Meta-analysis:  Withdrawals Due to Adverse Events</w:t>
      </w:r>
    </w:p>
    <w:tbl>
      <w:tblPr>
        <w:tblStyle w:val="TableColumns4"/>
        <w:tblW w:w="0" w:type="auto"/>
        <w:tblLook w:val="04A0" w:firstRow="1" w:lastRow="0" w:firstColumn="1" w:lastColumn="0" w:noHBand="0" w:noVBand="1"/>
      </w:tblPr>
      <w:tblGrid>
        <w:gridCol w:w="2359"/>
        <w:gridCol w:w="323"/>
        <w:gridCol w:w="572"/>
        <w:gridCol w:w="1524"/>
        <w:gridCol w:w="899"/>
        <w:gridCol w:w="4619"/>
      </w:tblGrid>
      <w:tr w:rsidR="00670993" w:rsidRPr="00DE1692" w:rsidTr="009A12DA">
        <w:trPr>
          <w:cnfStyle w:val="100000000000" w:firstRow="1" w:lastRow="0" w:firstColumn="0" w:lastColumn="0" w:oddVBand="0" w:evenVBand="0" w:oddHBand="0" w:evenHBand="0" w:firstRowFirstColumn="0" w:firstRowLastColumn="0" w:lastRowFirstColumn="0" w:lastRowLastColumn="0"/>
          <w:tblHeader/>
        </w:trPr>
        <w:tc>
          <w:tcPr>
            <w:tcW w:w="0" w:type="auto"/>
            <w:vAlign w:val="bottom"/>
          </w:tcPr>
          <w:p w:rsidR="00CA3A52" w:rsidRPr="00DE1692" w:rsidRDefault="00CA3A52" w:rsidP="009F6AF9">
            <w:pPr>
              <w:pStyle w:val="Table"/>
              <w:keepNext/>
              <w:spacing w:beforeLines="40" w:before="96" w:afterLines="40" w:after="96"/>
              <w:rPr>
                <w:color w:val="FFFFFF" w:themeColor="background1"/>
              </w:rPr>
            </w:pPr>
            <w:r>
              <w:rPr>
                <w:color w:val="FFFFFF" w:themeColor="background1"/>
              </w:rPr>
              <w:t>Topical Agent / Comparator</w:t>
            </w:r>
          </w:p>
        </w:tc>
        <w:tc>
          <w:tcPr>
            <w:tcW w:w="0" w:type="auto"/>
            <w:vAlign w:val="bottom"/>
          </w:tcPr>
          <w:p w:rsidR="00CA3A52" w:rsidRPr="00DE1692" w:rsidRDefault="00CA3A52" w:rsidP="009F6AF9">
            <w:pPr>
              <w:pStyle w:val="Table"/>
              <w:keepNext/>
              <w:spacing w:beforeLines="40" w:before="96" w:afterLines="40" w:after="96"/>
              <w:rPr>
                <w:color w:val="FFFFFF" w:themeColor="background1"/>
              </w:rPr>
            </w:pPr>
            <w:r>
              <w:rPr>
                <w:color w:val="FFFFFF" w:themeColor="background1"/>
              </w:rPr>
              <w:t>K</w:t>
            </w:r>
          </w:p>
        </w:tc>
        <w:tc>
          <w:tcPr>
            <w:tcW w:w="0" w:type="auto"/>
            <w:vAlign w:val="bottom"/>
          </w:tcPr>
          <w:p w:rsidR="00CA3A52" w:rsidRDefault="00CA3A52" w:rsidP="009F6AF9">
            <w:pPr>
              <w:pStyle w:val="Table"/>
              <w:keepNext/>
              <w:spacing w:beforeLines="40" w:before="96" w:afterLines="40" w:after="96"/>
              <w:rPr>
                <w:color w:val="FFFFFF" w:themeColor="background1"/>
              </w:rPr>
            </w:pPr>
            <w:r>
              <w:rPr>
                <w:color w:val="FFFFFF" w:themeColor="background1"/>
              </w:rPr>
              <w:t>N</w:t>
            </w:r>
          </w:p>
        </w:tc>
        <w:tc>
          <w:tcPr>
            <w:tcW w:w="1221" w:type="dxa"/>
            <w:vAlign w:val="bottom"/>
          </w:tcPr>
          <w:p w:rsidR="00CA3A52" w:rsidRPr="00DE1692" w:rsidRDefault="00CA3A52" w:rsidP="009F6AF9">
            <w:pPr>
              <w:pStyle w:val="Table"/>
              <w:keepNext/>
              <w:spacing w:beforeLines="40" w:before="96" w:afterLines="40" w:after="96"/>
              <w:rPr>
                <w:color w:val="FFFFFF" w:themeColor="background1"/>
              </w:rPr>
            </w:pPr>
            <w:r>
              <w:rPr>
                <w:color w:val="FFFFFF" w:themeColor="background1"/>
              </w:rPr>
              <w:t>RR (95% CI)</w:t>
            </w:r>
          </w:p>
        </w:tc>
        <w:tc>
          <w:tcPr>
            <w:tcW w:w="899" w:type="dxa"/>
            <w:vAlign w:val="bottom"/>
          </w:tcPr>
          <w:p w:rsidR="00CA3A52" w:rsidRDefault="00CA3A52" w:rsidP="009F6AF9">
            <w:pPr>
              <w:pStyle w:val="Table"/>
              <w:keepNext/>
              <w:spacing w:beforeLines="40" w:before="96" w:afterLines="40" w:after="96"/>
              <w:rPr>
                <w:color w:val="FFFFFF" w:themeColor="background1"/>
              </w:rPr>
            </w:pPr>
            <w:r>
              <w:rPr>
                <w:color w:val="FFFFFF" w:themeColor="background1"/>
              </w:rPr>
              <w:t>GRADE Quality</w:t>
            </w:r>
          </w:p>
        </w:tc>
        <w:tc>
          <w:tcPr>
            <w:tcW w:w="0" w:type="auto"/>
            <w:vAlign w:val="bottom"/>
          </w:tcPr>
          <w:p w:rsidR="00CA3A52" w:rsidRDefault="00CA3A52" w:rsidP="009F6AF9">
            <w:pPr>
              <w:pStyle w:val="Table"/>
              <w:keepNext/>
              <w:spacing w:beforeLines="40" w:before="96" w:afterLines="40" w:after="96"/>
              <w:rPr>
                <w:color w:val="FFFFFF" w:themeColor="background1"/>
              </w:rPr>
            </w:pPr>
            <w:r>
              <w:rPr>
                <w:color w:val="FFFFFF" w:themeColor="background1"/>
              </w:rPr>
              <w:t>Comments</w:t>
            </w:r>
          </w:p>
        </w:tc>
      </w:tr>
      <w:tr w:rsidR="00670993" w:rsidTr="009A12DA">
        <w:tc>
          <w:tcPr>
            <w:tcW w:w="0" w:type="auto"/>
            <w:shd w:val="clear" w:color="auto" w:fill="D9D9D9" w:themeFill="background1" w:themeFillShade="D9"/>
          </w:tcPr>
          <w:p w:rsidR="00CA3A52" w:rsidRDefault="00CA3A52" w:rsidP="009F6AF9">
            <w:pPr>
              <w:pStyle w:val="Table"/>
              <w:keepNext/>
              <w:spacing w:beforeLines="40" w:before="96" w:afterLines="40" w:after="96"/>
            </w:pPr>
            <w:r>
              <w:t>Active-controlled Trials</w:t>
            </w:r>
          </w:p>
        </w:tc>
        <w:tc>
          <w:tcPr>
            <w:tcW w:w="0" w:type="auto"/>
            <w:shd w:val="clear" w:color="auto" w:fill="D9D9D9" w:themeFill="background1" w:themeFillShade="D9"/>
          </w:tcPr>
          <w:p w:rsidR="00CA3A52" w:rsidRDefault="00CA3A52" w:rsidP="009F6AF9">
            <w:pPr>
              <w:pStyle w:val="Table"/>
              <w:keepNext/>
              <w:spacing w:beforeLines="40" w:before="96" w:afterLines="40" w:after="96"/>
            </w:pPr>
          </w:p>
        </w:tc>
        <w:tc>
          <w:tcPr>
            <w:tcW w:w="0" w:type="auto"/>
            <w:shd w:val="clear" w:color="auto" w:fill="D9D9D9" w:themeFill="background1" w:themeFillShade="D9"/>
          </w:tcPr>
          <w:p w:rsidR="00CA3A52" w:rsidRDefault="00CA3A52" w:rsidP="009F6AF9">
            <w:pPr>
              <w:pStyle w:val="Table"/>
              <w:keepNext/>
              <w:spacing w:beforeLines="40" w:before="96" w:afterLines="40" w:after="96"/>
            </w:pPr>
          </w:p>
        </w:tc>
        <w:tc>
          <w:tcPr>
            <w:tcW w:w="1221" w:type="dxa"/>
            <w:shd w:val="clear" w:color="auto" w:fill="D9D9D9" w:themeFill="background1" w:themeFillShade="D9"/>
          </w:tcPr>
          <w:p w:rsidR="00CA3A52" w:rsidRDefault="00CA3A52" w:rsidP="009F6AF9">
            <w:pPr>
              <w:pStyle w:val="Table"/>
              <w:keepNext/>
              <w:spacing w:beforeLines="40" w:before="96" w:afterLines="40" w:after="96"/>
            </w:pPr>
          </w:p>
        </w:tc>
        <w:tc>
          <w:tcPr>
            <w:tcW w:w="899" w:type="dxa"/>
            <w:shd w:val="clear" w:color="auto" w:fill="D9D9D9" w:themeFill="background1" w:themeFillShade="D9"/>
          </w:tcPr>
          <w:p w:rsidR="00CA3A52" w:rsidRDefault="00CA3A52" w:rsidP="009F6AF9">
            <w:pPr>
              <w:pStyle w:val="Table"/>
              <w:keepNext/>
              <w:spacing w:beforeLines="40" w:before="96" w:afterLines="40" w:after="96"/>
            </w:pPr>
          </w:p>
        </w:tc>
        <w:tc>
          <w:tcPr>
            <w:tcW w:w="0" w:type="auto"/>
            <w:shd w:val="clear" w:color="auto" w:fill="D9D9D9" w:themeFill="background1" w:themeFillShade="D9"/>
          </w:tcPr>
          <w:p w:rsidR="00CA3A52" w:rsidRDefault="00CA3A52" w:rsidP="009F6AF9">
            <w:pPr>
              <w:pStyle w:val="Table"/>
              <w:keepNext/>
              <w:spacing w:beforeLines="40" w:before="96" w:afterLines="40" w:after="96"/>
            </w:pPr>
          </w:p>
        </w:tc>
      </w:tr>
      <w:tr w:rsidR="00670993" w:rsidTr="009A12DA">
        <w:tc>
          <w:tcPr>
            <w:tcW w:w="0" w:type="auto"/>
          </w:tcPr>
          <w:p w:rsidR="00CA3A52" w:rsidRDefault="00CA3A52" w:rsidP="009F6AF9">
            <w:pPr>
              <w:pStyle w:val="Table"/>
              <w:keepNext/>
              <w:spacing w:beforeLines="40" w:before="96" w:afterLines="40" w:after="96"/>
            </w:pPr>
            <w:r>
              <w:t xml:space="preserve">5-Fluorouracil 5% (high strength) vs. </w:t>
            </w:r>
            <w:proofErr w:type="spellStart"/>
            <w:r>
              <w:t>Imiquimod</w:t>
            </w:r>
            <w:proofErr w:type="spellEnd"/>
            <w:r>
              <w:t xml:space="preserve"> 5%</w:t>
            </w:r>
          </w:p>
        </w:tc>
        <w:tc>
          <w:tcPr>
            <w:tcW w:w="0" w:type="auto"/>
          </w:tcPr>
          <w:p w:rsidR="00CA3A52" w:rsidRDefault="009524BC" w:rsidP="009F6AF9">
            <w:pPr>
              <w:pStyle w:val="Table"/>
              <w:keepNext/>
              <w:spacing w:beforeLines="40" w:before="96" w:afterLines="40" w:after="96"/>
            </w:pPr>
            <w:r>
              <w:t>1</w:t>
            </w:r>
          </w:p>
        </w:tc>
        <w:tc>
          <w:tcPr>
            <w:tcW w:w="0" w:type="auto"/>
          </w:tcPr>
          <w:p w:rsidR="00CA3A52" w:rsidRDefault="009524BC" w:rsidP="009F6AF9">
            <w:pPr>
              <w:pStyle w:val="Table"/>
              <w:keepNext/>
              <w:spacing w:beforeLines="40" w:before="96" w:afterLines="40" w:after="96"/>
            </w:pPr>
            <w:r>
              <w:t>50</w:t>
            </w:r>
          </w:p>
        </w:tc>
        <w:tc>
          <w:tcPr>
            <w:tcW w:w="1221" w:type="dxa"/>
          </w:tcPr>
          <w:p w:rsidR="00CA3A52" w:rsidRDefault="009524BC" w:rsidP="009F6AF9">
            <w:pPr>
              <w:pStyle w:val="Table"/>
              <w:keepNext/>
              <w:spacing w:beforeLines="40" w:before="96" w:afterLines="40" w:after="96"/>
            </w:pPr>
            <w:r>
              <w:t>Not estimable</w:t>
            </w:r>
          </w:p>
        </w:tc>
        <w:tc>
          <w:tcPr>
            <w:tcW w:w="899" w:type="dxa"/>
          </w:tcPr>
          <w:p w:rsidR="00CA3A52" w:rsidRDefault="009524BC" w:rsidP="009F6AF9">
            <w:pPr>
              <w:pStyle w:val="Table"/>
              <w:keepNext/>
              <w:spacing w:beforeLines="40" w:before="96" w:afterLines="40" w:after="96"/>
            </w:pPr>
            <w:r>
              <w:t>Moderate</w:t>
            </w:r>
          </w:p>
        </w:tc>
        <w:tc>
          <w:tcPr>
            <w:tcW w:w="0" w:type="auto"/>
          </w:tcPr>
          <w:p w:rsidR="00CA3A52" w:rsidRDefault="009524BC" w:rsidP="009F6AF9">
            <w:pPr>
              <w:pStyle w:val="Table"/>
              <w:keepNext/>
              <w:spacing w:beforeLines="40" w:before="96" w:afterLines="40" w:after="96"/>
            </w:pPr>
            <w:r>
              <w:t xml:space="preserve">No WDAEs in either </w:t>
            </w:r>
            <w:proofErr w:type="spellStart"/>
            <w:r>
              <w:t>tx</w:t>
            </w:r>
            <w:proofErr w:type="spellEnd"/>
            <w:r>
              <w:t xml:space="preserve"> group</w:t>
            </w:r>
          </w:p>
        </w:tc>
      </w:tr>
      <w:tr w:rsidR="00670993" w:rsidTr="009A12DA">
        <w:tc>
          <w:tcPr>
            <w:tcW w:w="0" w:type="auto"/>
          </w:tcPr>
          <w:p w:rsidR="00DC4AEF" w:rsidRDefault="00DC4AEF" w:rsidP="009F6AF9">
            <w:pPr>
              <w:pStyle w:val="Table"/>
              <w:keepNext/>
              <w:spacing w:beforeLines="40" w:before="96" w:afterLines="40" w:after="96"/>
            </w:pPr>
            <w:r>
              <w:t xml:space="preserve">Diclofenac 3% in 2.5% </w:t>
            </w:r>
            <w:r w:rsidR="009524BC" w:rsidRPr="009524BC">
              <w:t xml:space="preserve">Hyaluronic Acid </w:t>
            </w:r>
            <w:r>
              <w:t xml:space="preserve">vs. </w:t>
            </w:r>
            <w:proofErr w:type="spellStart"/>
            <w:r>
              <w:t>Imiquimod</w:t>
            </w:r>
            <w:proofErr w:type="spellEnd"/>
            <w:r>
              <w:t xml:space="preserve"> 5%</w:t>
            </w:r>
          </w:p>
        </w:tc>
        <w:tc>
          <w:tcPr>
            <w:tcW w:w="0" w:type="auto"/>
          </w:tcPr>
          <w:p w:rsidR="00DC4AEF" w:rsidRDefault="00DC4AEF" w:rsidP="009F6AF9">
            <w:pPr>
              <w:pStyle w:val="Table"/>
              <w:keepNext/>
              <w:spacing w:beforeLines="40" w:before="96" w:afterLines="40" w:after="96"/>
            </w:pPr>
            <w:r>
              <w:t>1</w:t>
            </w:r>
          </w:p>
        </w:tc>
        <w:tc>
          <w:tcPr>
            <w:tcW w:w="0" w:type="auto"/>
          </w:tcPr>
          <w:p w:rsidR="00DC4AEF" w:rsidRDefault="00DC4AEF" w:rsidP="009F6AF9">
            <w:pPr>
              <w:pStyle w:val="Table"/>
              <w:keepNext/>
              <w:spacing w:beforeLines="40" w:before="96" w:afterLines="40" w:after="96"/>
            </w:pPr>
            <w:r>
              <w:t>49</w:t>
            </w:r>
          </w:p>
        </w:tc>
        <w:tc>
          <w:tcPr>
            <w:tcW w:w="1221" w:type="dxa"/>
          </w:tcPr>
          <w:p w:rsidR="00DC4AEF" w:rsidRDefault="00DC4AEF" w:rsidP="009F6AF9">
            <w:pPr>
              <w:pStyle w:val="Table"/>
              <w:keepNext/>
              <w:spacing w:beforeLines="40" w:before="96" w:afterLines="40" w:after="96"/>
            </w:pPr>
            <w:r>
              <w:t>Not estimable</w:t>
            </w:r>
          </w:p>
        </w:tc>
        <w:tc>
          <w:tcPr>
            <w:tcW w:w="899" w:type="dxa"/>
          </w:tcPr>
          <w:p w:rsidR="00DC4AEF" w:rsidRDefault="00DC4AEF" w:rsidP="009F6AF9">
            <w:pPr>
              <w:pStyle w:val="Table"/>
              <w:keepNext/>
              <w:spacing w:beforeLines="40" w:before="96" w:afterLines="40" w:after="96"/>
            </w:pPr>
            <w:r>
              <w:t>Moderate</w:t>
            </w:r>
          </w:p>
        </w:tc>
        <w:tc>
          <w:tcPr>
            <w:tcW w:w="0" w:type="auto"/>
          </w:tcPr>
          <w:p w:rsidR="00DC4AEF" w:rsidRDefault="00DC4AEF" w:rsidP="009F6AF9">
            <w:pPr>
              <w:pStyle w:val="Table"/>
              <w:keepNext/>
              <w:spacing w:beforeLines="40" w:before="96" w:afterLines="40" w:after="96"/>
            </w:pPr>
            <w:r>
              <w:t xml:space="preserve">No WDAEs in either </w:t>
            </w:r>
            <w:proofErr w:type="spellStart"/>
            <w:r>
              <w:t>tx</w:t>
            </w:r>
            <w:proofErr w:type="spellEnd"/>
            <w:r>
              <w:t xml:space="preserve"> group</w:t>
            </w:r>
          </w:p>
        </w:tc>
      </w:tr>
      <w:tr w:rsidR="00CA3A52" w:rsidTr="009A12DA">
        <w:tc>
          <w:tcPr>
            <w:tcW w:w="0" w:type="auto"/>
            <w:gridSpan w:val="6"/>
            <w:shd w:val="clear" w:color="auto" w:fill="D9D9D9" w:themeFill="background1" w:themeFillShade="D9"/>
          </w:tcPr>
          <w:p w:rsidR="00CA3A52" w:rsidRDefault="00CA3A52" w:rsidP="009F6AF9">
            <w:pPr>
              <w:pStyle w:val="Table"/>
              <w:keepNext/>
              <w:spacing w:beforeLines="40" w:before="96" w:afterLines="40" w:after="96"/>
            </w:pPr>
            <w:r>
              <w:t>Placebo- or Vehicle-controlled Trials</w:t>
            </w:r>
          </w:p>
        </w:tc>
      </w:tr>
      <w:tr w:rsidR="00670993" w:rsidTr="009A12DA">
        <w:tc>
          <w:tcPr>
            <w:tcW w:w="0" w:type="auto"/>
          </w:tcPr>
          <w:p w:rsidR="00CA3A52" w:rsidRDefault="00CA3A52" w:rsidP="009F6AF9">
            <w:pPr>
              <w:pStyle w:val="Table"/>
              <w:keepNext/>
              <w:spacing w:beforeLines="40" w:before="96" w:afterLines="40" w:after="96"/>
            </w:pPr>
            <w:r>
              <w:t>Diclofenac in 2.5% Hyaluronic Acid / Vehicle</w:t>
            </w:r>
          </w:p>
        </w:tc>
        <w:tc>
          <w:tcPr>
            <w:tcW w:w="0" w:type="auto"/>
          </w:tcPr>
          <w:p w:rsidR="00CA3A52" w:rsidRDefault="009524BC" w:rsidP="009F6AF9">
            <w:pPr>
              <w:pStyle w:val="Table"/>
              <w:keepNext/>
              <w:spacing w:beforeLines="40" w:before="96" w:afterLines="40" w:after="96"/>
            </w:pPr>
            <w:r>
              <w:t>4</w:t>
            </w:r>
          </w:p>
        </w:tc>
        <w:tc>
          <w:tcPr>
            <w:tcW w:w="0" w:type="auto"/>
          </w:tcPr>
          <w:p w:rsidR="00CA3A52" w:rsidRDefault="009524BC" w:rsidP="009F6AF9">
            <w:pPr>
              <w:pStyle w:val="Table"/>
              <w:keepNext/>
              <w:spacing w:beforeLines="40" w:before="96" w:afterLines="40" w:after="96"/>
            </w:pPr>
            <w:r>
              <w:t>592</w:t>
            </w:r>
          </w:p>
        </w:tc>
        <w:tc>
          <w:tcPr>
            <w:tcW w:w="0" w:type="auto"/>
          </w:tcPr>
          <w:p w:rsidR="00CA3A52" w:rsidRDefault="00CA3A52" w:rsidP="009F6AF9">
            <w:pPr>
              <w:pStyle w:val="Table"/>
              <w:keepNext/>
              <w:spacing w:beforeLines="40" w:before="96" w:afterLines="40" w:after="96"/>
            </w:pPr>
            <w:r w:rsidRPr="00CA3A52">
              <w:rPr>
                <w:lang w:val="en"/>
              </w:rPr>
              <w:t xml:space="preserve">3.59 </w:t>
            </w:r>
            <w:r>
              <w:rPr>
                <w:lang w:val="en"/>
              </w:rPr>
              <w:t>(</w:t>
            </w:r>
            <w:r w:rsidRPr="00CA3A52">
              <w:rPr>
                <w:lang w:val="en"/>
              </w:rPr>
              <w:t>1.92 to 6.70</w:t>
            </w:r>
            <w:r>
              <w:rPr>
                <w:lang w:val="en"/>
              </w:rPr>
              <w:t>)</w:t>
            </w:r>
          </w:p>
        </w:tc>
        <w:tc>
          <w:tcPr>
            <w:tcW w:w="0" w:type="auto"/>
          </w:tcPr>
          <w:p w:rsidR="00CA3A52" w:rsidRDefault="009524BC" w:rsidP="009F6AF9">
            <w:pPr>
              <w:pStyle w:val="Table"/>
              <w:keepNext/>
              <w:spacing w:beforeLines="40" w:before="96" w:afterLines="40" w:after="96"/>
            </w:pPr>
            <w:r>
              <w:t>High</w:t>
            </w:r>
          </w:p>
        </w:tc>
        <w:tc>
          <w:tcPr>
            <w:tcW w:w="0" w:type="auto"/>
          </w:tcPr>
          <w:p w:rsidR="00CA3A52" w:rsidRDefault="00CA3A52" w:rsidP="009F6AF9">
            <w:pPr>
              <w:pStyle w:val="Table"/>
              <w:keepNext/>
              <w:spacing w:beforeLines="40" w:before="96" w:afterLines="40" w:after="96"/>
            </w:pPr>
            <w:r>
              <w:t>NNT = 9.4</w:t>
            </w:r>
          </w:p>
        </w:tc>
      </w:tr>
      <w:tr w:rsidR="00670993" w:rsidTr="009A12DA">
        <w:tc>
          <w:tcPr>
            <w:tcW w:w="0" w:type="auto"/>
          </w:tcPr>
          <w:p w:rsidR="00CA3A52" w:rsidRDefault="00CA3A52" w:rsidP="009F6AF9">
            <w:pPr>
              <w:pStyle w:val="Table"/>
              <w:keepNext/>
              <w:spacing w:beforeLines="40" w:before="96" w:afterLines="40" w:after="96"/>
            </w:pPr>
            <w:r>
              <w:t>5-Fluorouracil 0.5% (low strength) / Vehicle</w:t>
            </w:r>
          </w:p>
        </w:tc>
        <w:tc>
          <w:tcPr>
            <w:tcW w:w="0" w:type="auto"/>
          </w:tcPr>
          <w:p w:rsidR="00CA3A52" w:rsidRDefault="00C1275F" w:rsidP="009F6AF9">
            <w:pPr>
              <w:pStyle w:val="Table"/>
              <w:keepNext/>
              <w:spacing w:beforeLines="40" w:before="96" w:afterLines="40" w:after="96"/>
            </w:pPr>
            <w:r>
              <w:t>1</w:t>
            </w:r>
          </w:p>
        </w:tc>
        <w:tc>
          <w:tcPr>
            <w:tcW w:w="0" w:type="auto"/>
          </w:tcPr>
          <w:p w:rsidR="00CA3A52" w:rsidRDefault="00C1275F" w:rsidP="009F6AF9">
            <w:pPr>
              <w:pStyle w:val="Table"/>
              <w:keepNext/>
              <w:spacing w:beforeLines="40" w:before="96" w:afterLines="40" w:after="96"/>
            </w:pPr>
            <w:r>
              <w:t>177</w:t>
            </w:r>
          </w:p>
        </w:tc>
        <w:tc>
          <w:tcPr>
            <w:tcW w:w="0" w:type="auto"/>
          </w:tcPr>
          <w:p w:rsidR="00CA3A52" w:rsidRDefault="00C1275F" w:rsidP="009F6AF9">
            <w:pPr>
              <w:pStyle w:val="Table"/>
              <w:keepNext/>
              <w:spacing w:beforeLines="40" w:before="96" w:afterLines="40" w:after="96"/>
            </w:pPr>
            <w:r>
              <w:t>5.41 (0.3to 96.2)</w:t>
            </w:r>
          </w:p>
        </w:tc>
        <w:tc>
          <w:tcPr>
            <w:tcW w:w="0" w:type="auto"/>
          </w:tcPr>
          <w:p w:rsidR="00CA3A52" w:rsidRDefault="00C1275F" w:rsidP="009F6AF9">
            <w:pPr>
              <w:pStyle w:val="Table"/>
              <w:keepNext/>
              <w:spacing w:beforeLines="40" w:before="96" w:afterLines="40" w:after="96"/>
            </w:pPr>
            <w:r>
              <w:t>Very low</w:t>
            </w:r>
          </w:p>
        </w:tc>
        <w:tc>
          <w:tcPr>
            <w:tcW w:w="0" w:type="auto"/>
          </w:tcPr>
          <w:p w:rsidR="00CA3A52" w:rsidRDefault="00670993" w:rsidP="009F6AF9">
            <w:pPr>
              <w:pStyle w:val="Table"/>
              <w:keepNext/>
              <w:spacing w:beforeLines="40" w:before="96" w:afterLines="40" w:after="96"/>
            </w:pPr>
            <w:r>
              <w:t xml:space="preserve">Incidence of WDAEs tended to increase with longer </w:t>
            </w:r>
            <w:proofErr w:type="spellStart"/>
            <w:r>
              <w:t>tx</w:t>
            </w:r>
            <w:proofErr w:type="spellEnd"/>
            <w:r>
              <w:t xml:space="preserve"> duration (NSD). The 5% and 0.5% 5FU creams are associated with similar WDAEs. </w:t>
            </w:r>
          </w:p>
        </w:tc>
      </w:tr>
      <w:tr w:rsidR="00670993" w:rsidTr="009A12DA">
        <w:tc>
          <w:tcPr>
            <w:tcW w:w="0" w:type="auto"/>
          </w:tcPr>
          <w:p w:rsidR="00CA3A52" w:rsidRDefault="00CA3A52" w:rsidP="009F6AF9">
            <w:pPr>
              <w:pStyle w:val="Table"/>
              <w:keepNext/>
              <w:spacing w:beforeLines="40" w:before="96" w:afterLines="40" w:after="96"/>
            </w:pPr>
            <w:proofErr w:type="spellStart"/>
            <w:r>
              <w:t>Imiquimod</w:t>
            </w:r>
            <w:proofErr w:type="spellEnd"/>
            <w:r>
              <w:t xml:space="preserve"> 5% / Placebo</w:t>
            </w:r>
          </w:p>
        </w:tc>
        <w:tc>
          <w:tcPr>
            <w:tcW w:w="0" w:type="auto"/>
          </w:tcPr>
          <w:p w:rsidR="00CA3A52" w:rsidRDefault="009524BC" w:rsidP="009F6AF9">
            <w:pPr>
              <w:pStyle w:val="Table"/>
              <w:keepNext/>
              <w:spacing w:beforeLines="40" w:before="96" w:afterLines="40" w:after="96"/>
            </w:pPr>
            <w:r>
              <w:t>8</w:t>
            </w:r>
          </w:p>
        </w:tc>
        <w:tc>
          <w:tcPr>
            <w:tcW w:w="0" w:type="auto"/>
          </w:tcPr>
          <w:p w:rsidR="00CA3A52" w:rsidRDefault="009524BC" w:rsidP="009F6AF9">
            <w:pPr>
              <w:pStyle w:val="Table"/>
              <w:keepNext/>
              <w:spacing w:beforeLines="40" w:before="96" w:afterLines="40" w:after="96"/>
            </w:pPr>
            <w:r>
              <w:t>2290</w:t>
            </w:r>
          </w:p>
        </w:tc>
        <w:tc>
          <w:tcPr>
            <w:tcW w:w="0" w:type="auto"/>
          </w:tcPr>
          <w:p w:rsidR="00CA3A52" w:rsidRDefault="009524BC" w:rsidP="009F6AF9">
            <w:pPr>
              <w:pStyle w:val="Table"/>
              <w:keepNext/>
              <w:spacing w:beforeLines="40" w:before="96" w:afterLines="40" w:after="96"/>
            </w:pPr>
            <w:r>
              <w:t>2.59 (1.59 to 4.23)</w:t>
            </w:r>
          </w:p>
        </w:tc>
        <w:tc>
          <w:tcPr>
            <w:tcW w:w="0" w:type="auto"/>
          </w:tcPr>
          <w:p w:rsidR="00CA3A52" w:rsidRDefault="00C1275F" w:rsidP="009F6AF9">
            <w:pPr>
              <w:pStyle w:val="Table"/>
              <w:keepNext/>
              <w:spacing w:beforeLines="40" w:before="96" w:afterLines="40" w:after="96"/>
            </w:pPr>
            <w:r>
              <w:t>Moderate</w:t>
            </w:r>
          </w:p>
        </w:tc>
        <w:tc>
          <w:tcPr>
            <w:tcW w:w="0" w:type="auto"/>
          </w:tcPr>
          <w:p w:rsidR="00CA3A52" w:rsidRDefault="00C97915" w:rsidP="009F6AF9">
            <w:pPr>
              <w:pStyle w:val="Table"/>
              <w:keepNext/>
              <w:spacing w:beforeLines="40" w:before="96" w:afterLines="40" w:after="96"/>
            </w:pPr>
            <w:r>
              <w:t>NNT = 27</w:t>
            </w:r>
          </w:p>
        </w:tc>
      </w:tr>
      <w:tr w:rsidR="00670993" w:rsidTr="009A12DA">
        <w:tc>
          <w:tcPr>
            <w:tcW w:w="0" w:type="auto"/>
          </w:tcPr>
          <w:p w:rsidR="009524BC" w:rsidRDefault="009524BC" w:rsidP="009F6AF9">
            <w:pPr>
              <w:pStyle w:val="Table"/>
              <w:keepNext/>
              <w:spacing w:beforeLines="40" w:before="96" w:afterLines="40" w:after="96"/>
            </w:pPr>
            <w:proofErr w:type="spellStart"/>
            <w:r>
              <w:t>Imiquimod</w:t>
            </w:r>
            <w:proofErr w:type="spellEnd"/>
            <w:r>
              <w:t xml:space="preserve"> 3.75% / Placebo</w:t>
            </w:r>
          </w:p>
        </w:tc>
        <w:tc>
          <w:tcPr>
            <w:tcW w:w="0" w:type="auto"/>
          </w:tcPr>
          <w:p w:rsidR="009524BC" w:rsidRDefault="009524BC" w:rsidP="009F6AF9">
            <w:pPr>
              <w:pStyle w:val="Table"/>
              <w:keepNext/>
              <w:spacing w:beforeLines="40" w:before="96" w:afterLines="40" w:after="96"/>
            </w:pPr>
            <w:r>
              <w:t>2</w:t>
            </w:r>
          </w:p>
        </w:tc>
        <w:tc>
          <w:tcPr>
            <w:tcW w:w="0" w:type="auto"/>
          </w:tcPr>
          <w:p w:rsidR="009524BC" w:rsidRDefault="009524BC" w:rsidP="009F6AF9">
            <w:pPr>
              <w:pStyle w:val="Table"/>
              <w:keepNext/>
              <w:spacing w:beforeLines="40" w:before="96" w:afterLines="40" w:after="96"/>
            </w:pPr>
            <w:r>
              <w:t>483</w:t>
            </w:r>
          </w:p>
        </w:tc>
        <w:tc>
          <w:tcPr>
            <w:tcW w:w="0" w:type="auto"/>
          </w:tcPr>
          <w:p w:rsidR="009524BC" w:rsidRDefault="009524BC" w:rsidP="009F6AF9">
            <w:pPr>
              <w:pStyle w:val="Table"/>
              <w:keepNext/>
              <w:spacing w:beforeLines="40" w:before="96" w:afterLines="40" w:after="96"/>
            </w:pPr>
            <w:r>
              <w:t>0.92 (0.22 to 3.93)</w:t>
            </w:r>
          </w:p>
        </w:tc>
        <w:tc>
          <w:tcPr>
            <w:tcW w:w="0" w:type="auto"/>
          </w:tcPr>
          <w:p w:rsidR="009524BC" w:rsidRDefault="009524BC" w:rsidP="009F6AF9">
            <w:pPr>
              <w:pStyle w:val="Table"/>
              <w:keepNext/>
              <w:spacing w:beforeLines="40" w:before="96" w:afterLines="40" w:after="96"/>
            </w:pPr>
            <w:r>
              <w:t>Moderate</w:t>
            </w:r>
          </w:p>
        </w:tc>
        <w:tc>
          <w:tcPr>
            <w:tcW w:w="0" w:type="auto"/>
          </w:tcPr>
          <w:p w:rsidR="009524BC" w:rsidRDefault="00C97915" w:rsidP="009F6AF9">
            <w:pPr>
              <w:pStyle w:val="Table"/>
              <w:keepNext/>
              <w:spacing w:beforeLines="40" w:before="96" w:afterLines="40" w:after="96"/>
            </w:pPr>
            <w:r>
              <w:t>NSD</w:t>
            </w:r>
          </w:p>
        </w:tc>
      </w:tr>
      <w:tr w:rsidR="00670993" w:rsidTr="009A12DA">
        <w:tc>
          <w:tcPr>
            <w:tcW w:w="0" w:type="auto"/>
          </w:tcPr>
          <w:p w:rsidR="00CA3A52" w:rsidRDefault="00CA3A52" w:rsidP="009F6AF9">
            <w:pPr>
              <w:pStyle w:val="Table"/>
              <w:keepNext/>
              <w:spacing w:beforeLines="40" w:before="96" w:afterLines="40" w:after="96"/>
            </w:pPr>
            <w:proofErr w:type="spellStart"/>
            <w:r>
              <w:t>Ingenol</w:t>
            </w:r>
            <w:proofErr w:type="spellEnd"/>
            <w:r>
              <w:t xml:space="preserve"> </w:t>
            </w:r>
            <w:proofErr w:type="spellStart"/>
            <w:r>
              <w:t>mebutate</w:t>
            </w:r>
            <w:proofErr w:type="spellEnd"/>
            <w:r>
              <w:t xml:space="preserve"> 0.01%–0.05% / Vehicle</w:t>
            </w:r>
          </w:p>
        </w:tc>
        <w:tc>
          <w:tcPr>
            <w:tcW w:w="0" w:type="auto"/>
          </w:tcPr>
          <w:p w:rsidR="00CA3A52" w:rsidRDefault="00DA6171" w:rsidP="009F6AF9">
            <w:pPr>
              <w:pStyle w:val="Table"/>
              <w:keepNext/>
              <w:spacing w:beforeLines="40" w:before="96" w:afterLines="40" w:after="96"/>
            </w:pPr>
            <w:r>
              <w:t>3</w:t>
            </w:r>
          </w:p>
        </w:tc>
        <w:tc>
          <w:tcPr>
            <w:tcW w:w="0" w:type="auto"/>
          </w:tcPr>
          <w:p w:rsidR="00CA3A52" w:rsidRDefault="00DA6171" w:rsidP="009F6AF9">
            <w:pPr>
              <w:pStyle w:val="Table"/>
              <w:keepNext/>
              <w:spacing w:beforeLines="40" w:before="96" w:afterLines="40" w:after="96"/>
            </w:pPr>
            <w:r>
              <w:t>540</w:t>
            </w:r>
          </w:p>
        </w:tc>
        <w:tc>
          <w:tcPr>
            <w:tcW w:w="0" w:type="auto"/>
          </w:tcPr>
          <w:p w:rsidR="00CA3A52" w:rsidRDefault="00DC4AEF" w:rsidP="009F6AF9">
            <w:pPr>
              <w:pStyle w:val="Table"/>
              <w:keepNext/>
              <w:spacing w:beforeLines="40" w:before="96" w:afterLines="40" w:after="96"/>
            </w:pPr>
            <w:r>
              <w:t>—</w:t>
            </w:r>
          </w:p>
        </w:tc>
        <w:tc>
          <w:tcPr>
            <w:tcW w:w="0" w:type="auto"/>
          </w:tcPr>
          <w:p w:rsidR="00CA3A52" w:rsidRDefault="00DC4AEF" w:rsidP="009F6AF9">
            <w:pPr>
              <w:pStyle w:val="Table"/>
              <w:keepNext/>
              <w:spacing w:beforeLines="40" w:before="96" w:afterLines="40" w:after="96"/>
            </w:pPr>
            <w:r>
              <w:t>—</w:t>
            </w:r>
          </w:p>
        </w:tc>
        <w:tc>
          <w:tcPr>
            <w:tcW w:w="0" w:type="auto"/>
          </w:tcPr>
          <w:p w:rsidR="00CA3A52" w:rsidRDefault="00DA6171" w:rsidP="009F6AF9">
            <w:pPr>
              <w:pStyle w:val="Table"/>
              <w:keepNext/>
              <w:spacing w:beforeLines="40" w:before="96" w:afterLines="40" w:after="96"/>
            </w:pPr>
            <w:r>
              <w:t xml:space="preserve">No WDAEs in 2 RCTs; 1 WDAE in third RCT but </w:t>
            </w:r>
            <w:proofErr w:type="spellStart"/>
            <w:r>
              <w:t>tx</w:t>
            </w:r>
            <w:proofErr w:type="spellEnd"/>
            <w:r>
              <w:t xml:space="preserve"> group was not reported.</w:t>
            </w:r>
          </w:p>
        </w:tc>
      </w:tr>
    </w:tbl>
    <w:p w:rsidR="00CA3A52" w:rsidRDefault="00CA3A52" w:rsidP="009F6AF9">
      <w:pPr>
        <w:pStyle w:val="TableFootnote"/>
        <w:spacing w:beforeLines="40" w:before="96" w:afterLines="40" w:after="96"/>
      </w:pPr>
      <w:r>
        <w:t>K, Number of RCTs</w:t>
      </w:r>
    </w:p>
    <w:p w:rsidR="00537E8D" w:rsidRDefault="00537E8D" w:rsidP="00017C36">
      <w:pPr>
        <w:pStyle w:val="Heading2"/>
      </w:pPr>
      <w:bookmarkStart w:id="17" w:name="_GoBack"/>
      <w:r>
        <w:t>Common Adverse Events</w:t>
      </w:r>
    </w:p>
    <w:p w:rsidR="00537E8D" w:rsidRDefault="00312572" w:rsidP="00017C36">
      <w:pPr>
        <w:keepNext/>
      </w:pPr>
      <w:r>
        <w:t xml:space="preserve">Pooled adverse event data from the product information are shown in </w:t>
      </w:r>
      <w:r>
        <w:fldChar w:fldCharType="begin"/>
      </w:r>
      <w:r>
        <w:instrText xml:space="preserve"> REF _Ref374353139 \h </w:instrText>
      </w:r>
      <w:r w:rsidR="00017C36">
        <w:instrText xml:space="preserve"> \* MERGEFORMAT </w:instrText>
      </w:r>
      <w:r>
        <w:fldChar w:fldCharType="separate"/>
      </w:r>
      <w:r w:rsidR="00D93D73">
        <w:t xml:space="preserve">Table </w:t>
      </w:r>
      <w:r w:rsidR="00D93D73">
        <w:rPr>
          <w:noProof/>
        </w:rPr>
        <w:t>9</w:t>
      </w:r>
      <w:r>
        <w:fldChar w:fldCharType="end"/>
      </w:r>
      <w:r w:rsidR="001B4F21">
        <w:t xml:space="preserve"> and </w:t>
      </w:r>
      <w:r w:rsidR="001B4F21">
        <w:fldChar w:fldCharType="begin"/>
      </w:r>
      <w:r w:rsidR="001B4F21">
        <w:instrText xml:space="preserve"> REF _Ref379462675 \h </w:instrText>
      </w:r>
      <w:r w:rsidR="00017C36">
        <w:instrText xml:space="preserve"> \* MERGEFORMAT </w:instrText>
      </w:r>
      <w:r w:rsidR="001B4F21">
        <w:fldChar w:fldCharType="separate"/>
      </w:r>
      <w:r w:rsidR="001B4F21">
        <w:t xml:space="preserve">Table </w:t>
      </w:r>
      <w:r w:rsidR="001B4F21">
        <w:rPr>
          <w:noProof/>
        </w:rPr>
        <w:t>10</w:t>
      </w:r>
      <w:r w:rsidR="001B4F21">
        <w:fldChar w:fldCharType="end"/>
      </w:r>
      <w:r>
        <w:t>.</w:t>
      </w:r>
    </w:p>
    <w:p w:rsidR="00406DBF" w:rsidRPr="00406DBF" w:rsidRDefault="00406DBF" w:rsidP="00017C36">
      <w:pPr>
        <w:pStyle w:val="Caption"/>
      </w:pPr>
      <w:bookmarkStart w:id="18" w:name="_Ref374353139"/>
      <w:bookmarkEnd w:id="17"/>
      <w:r>
        <w:t xml:space="preserve">Table </w:t>
      </w:r>
      <w:r w:rsidR="00017C36">
        <w:fldChar w:fldCharType="begin"/>
      </w:r>
      <w:r w:rsidR="00017C36">
        <w:instrText xml:space="preserve"> SEQ Table \* ARABIC </w:instrText>
      </w:r>
      <w:r w:rsidR="00017C36">
        <w:fldChar w:fldCharType="separate"/>
      </w:r>
      <w:r w:rsidR="00D93D73">
        <w:rPr>
          <w:noProof/>
        </w:rPr>
        <w:t>9</w:t>
      </w:r>
      <w:r w:rsidR="00017C36">
        <w:rPr>
          <w:noProof/>
        </w:rPr>
        <w:fldChar w:fldCharType="end"/>
      </w:r>
      <w:bookmarkEnd w:id="18"/>
      <w:r>
        <w:tab/>
        <w:t>Local Skin Reactions</w:t>
      </w:r>
      <w:r w:rsidR="006021ED">
        <w:t xml:space="preserve"> </w:t>
      </w:r>
    </w:p>
    <w:tbl>
      <w:tblPr>
        <w:tblStyle w:val="TableColumns4"/>
        <w:tblW w:w="0" w:type="auto"/>
        <w:tblLook w:val="04A0" w:firstRow="1" w:lastRow="0" w:firstColumn="1" w:lastColumn="0" w:noHBand="0" w:noVBand="1"/>
      </w:tblPr>
      <w:tblGrid>
        <w:gridCol w:w="2184"/>
        <w:gridCol w:w="933"/>
        <w:gridCol w:w="933"/>
        <w:gridCol w:w="222"/>
        <w:gridCol w:w="701"/>
        <w:gridCol w:w="701"/>
      </w:tblGrid>
      <w:tr w:rsidR="00406DBF" w:rsidRPr="009F6AF9" w:rsidTr="00927164">
        <w:trPr>
          <w:cnfStyle w:val="100000000000" w:firstRow="1" w:lastRow="0" w:firstColumn="0" w:lastColumn="0" w:oddVBand="0" w:evenVBand="0" w:oddHBand="0" w:evenHBand="0" w:firstRowFirstColumn="0" w:firstRowLastColumn="0" w:lastRowFirstColumn="0" w:lastRowLastColumn="0"/>
          <w:tblHeader/>
        </w:trPr>
        <w:tc>
          <w:tcPr>
            <w:tcW w:w="0" w:type="auto"/>
            <w:vAlign w:val="bottom"/>
          </w:tcPr>
          <w:p w:rsidR="00406DBF" w:rsidRPr="009F6AF9" w:rsidRDefault="00406DBF" w:rsidP="00017C36">
            <w:pPr>
              <w:keepNext/>
              <w:spacing w:beforeLines="20" w:before="48" w:afterLines="20" w:after="48"/>
              <w:rPr>
                <w:b/>
                <w:sz w:val="16"/>
              </w:rPr>
            </w:pPr>
          </w:p>
        </w:tc>
        <w:tc>
          <w:tcPr>
            <w:tcW w:w="0" w:type="auto"/>
            <w:gridSpan w:val="2"/>
            <w:tcBorders>
              <w:bottom w:val="single" w:sz="4" w:space="0" w:color="FFFFFF"/>
            </w:tcBorders>
            <w:vAlign w:val="bottom"/>
          </w:tcPr>
          <w:p w:rsidR="00406DBF" w:rsidRPr="009F6AF9" w:rsidRDefault="00406DBF" w:rsidP="00017C36">
            <w:pPr>
              <w:keepNext/>
              <w:spacing w:beforeLines="20" w:before="48" w:afterLines="20" w:after="48"/>
              <w:jc w:val="center"/>
              <w:rPr>
                <w:b/>
                <w:sz w:val="16"/>
              </w:rPr>
            </w:pPr>
            <w:r w:rsidRPr="009F6AF9">
              <w:rPr>
                <w:b/>
                <w:sz w:val="16"/>
              </w:rPr>
              <w:t>Any Grade &gt; Baseline</w:t>
            </w:r>
          </w:p>
        </w:tc>
        <w:tc>
          <w:tcPr>
            <w:tcW w:w="0" w:type="auto"/>
          </w:tcPr>
          <w:p w:rsidR="00406DBF" w:rsidRPr="009F6AF9" w:rsidRDefault="00406DBF" w:rsidP="00017C36">
            <w:pPr>
              <w:keepNext/>
              <w:spacing w:beforeLines="20" w:before="48" w:afterLines="20" w:after="48"/>
              <w:rPr>
                <w:b/>
                <w:sz w:val="16"/>
              </w:rPr>
            </w:pPr>
          </w:p>
        </w:tc>
        <w:tc>
          <w:tcPr>
            <w:tcW w:w="0" w:type="auto"/>
            <w:gridSpan w:val="2"/>
            <w:tcBorders>
              <w:bottom w:val="single" w:sz="4" w:space="0" w:color="FFFFFF"/>
            </w:tcBorders>
            <w:vAlign w:val="bottom"/>
          </w:tcPr>
          <w:p w:rsidR="00406DBF" w:rsidRPr="009F6AF9" w:rsidRDefault="00406DBF" w:rsidP="00017C36">
            <w:pPr>
              <w:keepNext/>
              <w:spacing w:beforeLines="20" w:before="48" w:afterLines="20" w:after="48"/>
              <w:jc w:val="center"/>
              <w:rPr>
                <w:b/>
                <w:sz w:val="16"/>
              </w:rPr>
            </w:pPr>
            <w:r w:rsidRPr="009F6AF9">
              <w:rPr>
                <w:b/>
                <w:sz w:val="16"/>
              </w:rPr>
              <w:t>Grade 4</w:t>
            </w:r>
          </w:p>
        </w:tc>
      </w:tr>
      <w:tr w:rsidR="00406DBF" w:rsidRPr="009F6AF9" w:rsidTr="0092716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000000"/>
            <w:vAlign w:val="bottom"/>
          </w:tcPr>
          <w:p w:rsidR="00406DBF" w:rsidRPr="009F6AF9" w:rsidRDefault="00406DBF" w:rsidP="00AE40EE">
            <w:pPr>
              <w:spacing w:beforeLines="20" w:before="48" w:afterLines="20" w:after="48"/>
              <w:rPr>
                <w:b/>
                <w:sz w:val="16"/>
              </w:rPr>
            </w:pPr>
            <w:r w:rsidRPr="009F6AF9">
              <w:rPr>
                <w:b/>
                <w:sz w:val="16"/>
              </w:rPr>
              <w:t>Reaction</w:t>
            </w:r>
          </w:p>
        </w:tc>
        <w:tc>
          <w:tcPr>
            <w:tcW w:w="0" w:type="auto"/>
            <w:tcBorders>
              <w:top w:val="single" w:sz="4" w:space="0" w:color="FFFFFF"/>
            </w:tcBorders>
            <w:shd w:val="clear" w:color="auto" w:fill="000000"/>
            <w:vAlign w:val="bottom"/>
          </w:tcPr>
          <w:p w:rsidR="00406DBF" w:rsidRPr="009F6AF9" w:rsidRDefault="00406DBF" w:rsidP="00927164">
            <w:pPr>
              <w:spacing w:beforeLines="20" w:before="48" w:afterLines="20" w:after="48"/>
              <w:jc w:val="center"/>
              <w:rPr>
                <w:b/>
                <w:sz w:val="16"/>
              </w:rPr>
            </w:pPr>
            <w:r w:rsidRPr="009F6AF9">
              <w:rPr>
                <w:b/>
                <w:sz w:val="16"/>
              </w:rPr>
              <w:t>IMG</w:t>
            </w:r>
          </w:p>
        </w:tc>
        <w:tc>
          <w:tcPr>
            <w:tcW w:w="0" w:type="auto"/>
            <w:tcBorders>
              <w:top w:val="single" w:sz="4" w:space="0" w:color="FFFFFF"/>
            </w:tcBorders>
            <w:shd w:val="clear" w:color="auto" w:fill="000000"/>
            <w:vAlign w:val="bottom"/>
          </w:tcPr>
          <w:p w:rsidR="00406DBF" w:rsidRPr="009F6AF9" w:rsidRDefault="00406DBF" w:rsidP="00927164">
            <w:pPr>
              <w:spacing w:beforeLines="20" w:before="48" w:afterLines="20" w:after="48"/>
              <w:jc w:val="center"/>
              <w:rPr>
                <w:b/>
                <w:sz w:val="16"/>
              </w:rPr>
            </w:pPr>
            <w:r w:rsidRPr="009F6AF9">
              <w:rPr>
                <w:b/>
                <w:sz w:val="16"/>
              </w:rPr>
              <w:t>VEH</w:t>
            </w:r>
          </w:p>
        </w:tc>
        <w:tc>
          <w:tcPr>
            <w:tcW w:w="0" w:type="auto"/>
            <w:shd w:val="clear" w:color="auto" w:fill="000000"/>
            <w:vAlign w:val="bottom"/>
          </w:tcPr>
          <w:p w:rsidR="00406DBF" w:rsidRPr="009F6AF9" w:rsidRDefault="00406DBF" w:rsidP="00927164">
            <w:pPr>
              <w:spacing w:beforeLines="20" w:before="48" w:afterLines="20" w:after="48"/>
              <w:jc w:val="center"/>
              <w:rPr>
                <w:b/>
                <w:sz w:val="16"/>
              </w:rPr>
            </w:pPr>
          </w:p>
        </w:tc>
        <w:tc>
          <w:tcPr>
            <w:tcW w:w="0" w:type="auto"/>
            <w:tcBorders>
              <w:top w:val="single" w:sz="4" w:space="0" w:color="FFFFFF"/>
            </w:tcBorders>
            <w:shd w:val="clear" w:color="auto" w:fill="000000"/>
            <w:vAlign w:val="bottom"/>
          </w:tcPr>
          <w:p w:rsidR="00406DBF" w:rsidRPr="009F6AF9" w:rsidRDefault="00406DBF" w:rsidP="00927164">
            <w:pPr>
              <w:spacing w:beforeLines="20" w:before="48" w:afterLines="20" w:after="48"/>
              <w:jc w:val="center"/>
              <w:rPr>
                <w:b/>
                <w:sz w:val="16"/>
              </w:rPr>
            </w:pPr>
            <w:r w:rsidRPr="009F6AF9">
              <w:rPr>
                <w:b/>
                <w:sz w:val="16"/>
              </w:rPr>
              <w:t>IMG</w:t>
            </w:r>
          </w:p>
        </w:tc>
        <w:tc>
          <w:tcPr>
            <w:tcW w:w="0" w:type="auto"/>
            <w:tcBorders>
              <w:top w:val="single" w:sz="4" w:space="0" w:color="FFFFFF"/>
            </w:tcBorders>
            <w:shd w:val="clear" w:color="auto" w:fill="000000"/>
            <w:vAlign w:val="bottom"/>
          </w:tcPr>
          <w:p w:rsidR="00406DBF" w:rsidRPr="009F6AF9" w:rsidRDefault="00406DBF" w:rsidP="00927164">
            <w:pPr>
              <w:spacing w:beforeLines="20" w:before="48" w:afterLines="20" w:after="48"/>
              <w:jc w:val="center"/>
              <w:rPr>
                <w:b/>
                <w:sz w:val="16"/>
              </w:rPr>
            </w:pPr>
            <w:r w:rsidRPr="009F6AF9">
              <w:rPr>
                <w:b/>
                <w:sz w:val="16"/>
              </w:rPr>
              <w:t>VEH</w:t>
            </w:r>
          </w:p>
        </w:tc>
      </w:tr>
      <w:tr w:rsidR="00406DBF" w:rsidRPr="009F6AF9" w:rsidTr="00406DBF">
        <w:tc>
          <w:tcPr>
            <w:tcW w:w="0" w:type="auto"/>
            <w:shd w:val="clear" w:color="auto" w:fill="D9D9D9"/>
          </w:tcPr>
          <w:p w:rsidR="00406DBF" w:rsidRPr="009F6AF9" w:rsidRDefault="00406DBF" w:rsidP="00AE40EE">
            <w:pPr>
              <w:spacing w:beforeLines="20" w:before="48" w:afterLines="20" w:after="48"/>
              <w:rPr>
                <w:sz w:val="16"/>
              </w:rPr>
            </w:pPr>
            <w:r w:rsidRPr="009F6AF9">
              <w:rPr>
                <w:sz w:val="16"/>
              </w:rPr>
              <w:t>Face and Scalp</w:t>
            </w:r>
          </w:p>
        </w:tc>
        <w:tc>
          <w:tcPr>
            <w:tcW w:w="0" w:type="auto"/>
            <w:shd w:val="clear" w:color="auto" w:fill="D9D9D9"/>
          </w:tcPr>
          <w:p w:rsidR="00406DBF" w:rsidRPr="009F6AF9" w:rsidRDefault="00406DBF" w:rsidP="00AE40EE">
            <w:pPr>
              <w:spacing w:beforeLines="20" w:before="48" w:afterLines="20" w:after="48"/>
              <w:rPr>
                <w:sz w:val="16"/>
              </w:rPr>
            </w:pPr>
            <w:r w:rsidRPr="009F6AF9">
              <w:rPr>
                <w:sz w:val="16"/>
              </w:rPr>
              <w:t>N=274</w:t>
            </w:r>
          </w:p>
        </w:tc>
        <w:tc>
          <w:tcPr>
            <w:tcW w:w="0" w:type="auto"/>
            <w:shd w:val="clear" w:color="auto" w:fill="D9D9D9"/>
          </w:tcPr>
          <w:p w:rsidR="00406DBF" w:rsidRPr="009F6AF9" w:rsidRDefault="00406DBF" w:rsidP="00AE40EE">
            <w:pPr>
              <w:spacing w:beforeLines="20" w:before="48" w:afterLines="20" w:after="48"/>
              <w:rPr>
                <w:sz w:val="16"/>
              </w:rPr>
            </w:pPr>
            <w:r w:rsidRPr="009F6AF9">
              <w:rPr>
                <w:sz w:val="16"/>
              </w:rPr>
              <w:t>N=271</w:t>
            </w:r>
          </w:p>
        </w:tc>
        <w:tc>
          <w:tcPr>
            <w:tcW w:w="0" w:type="auto"/>
            <w:shd w:val="clear" w:color="auto" w:fill="D9D9D9"/>
          </w:tcPr>
          <w:p w:rsidR="00406DBF" w:rsidRPr="009F6AF9" w:rsidRDefault="00406DBF" w:rsidP="00AE40EE">
            <w:pPr>
              <w:spacing w:beforeLines="20" w:before="48" w:afterLines="20" w:after="48"/>
              <w:rPr>
                <w:sz w:val="16"/>
              </w:rPr>
            </w:pPr>
          </w:p>
        </w:tc>
        <w:tc>
          <w:tcPr>
            <w:tcW w:w="0" w:type="auto"/>
            <w:shd w:val="clear" w:color="auto" w:fill="D9D9D9"/>
          </w:tcPr>
          <w:p w:rsidR="00406DBF" w:rsidRPr="009F6AF9" w:rsidRDefault="00406DBF" w:rsidP="00AE40EE">
            <w:pPr>
              <w:spacing w:beforeLines="20" w:before="48" w:afterLines="20" w:after="48"/>
              <w:rPr>
                <w:sz w:val="16"/>
              </w:rPr>
            </w:pPr>
            <w:r w:rsidRPr="009F6AF9">
              <w:rPr>
                <w:sz w:val="16"/>
              </w:rPr>
              <w:t>N=274</w:t>
            </w:r>
          </w:p>
        </w:tc>
        <w:tc>
          <w:tcPr>
            <w:tcW w:w="0" w:type="auto"/>
            <w:shd w:val="clear" w:color="auto" w:fill="D9D9D9"/>
          </w:tcPr>
          <w:p w:rsidR="00406DBF" w:rsidRPr="009F6AF9" w:rsidRDefault="00406DBF" w:rsidP="00AE40EE">
            <w:pPr>
              <w:spacing w:beforeLines="20" w:before="48" w:afterLines="20" w:after="48"/>
              <w:rPr>
                <w:sz w:val="16"/>
              </w:rPr>
            </w:pPr>
            <w:r w:rsidRPr="009F6AF9">
              <w:rPr>
                <w:sz w:val="16"/>
              </w:rPr>
              <w:t>N=271</w:t>
            </w:r>
          </w:p>
        </w:tc>
      </w:tr>
      <w:tr w:rsidR="00406DBF" w:rsidRPr="009F6AF9" w:rsidTr="00E352E7">
        <w:tc>
          <w:tcPr>
            <w:tcW w:w="0" w:type="auto"/>
          </w:tcPr>
          <w:p w:rsidR="00406DBF" w:rsidRPr="009F6AF9" w:rsidRDefault="00406DBF" w:rsidP="00AE40EE">
            <w:pPr>
              <w:spacing w:beforeLines="20" w:before="48" w:afterLines="20" w:after="48"/>
              <w:ind w:left="180"/>
              <w:rPr>
                <w:sz w:val="16"/>
              </w:rPr>
            </w:pPr>
            <w:r w:rsidRPr="009F6AF9">
              <w:rPr>
                <w:sz w:val="16"/>
              </w:rPr>
              <w:t>Erythema</w:t>
            </w:r>
          </w:p>
        </w:tc>
        <w:tc>
          <w:tcPr>
            <w:tcW w:w="0" w:type="auto"/>
          </w:tcPr>
          <w:p w:rsidR="00406DBF" w:rsidRPr="009F6AF9" w:rsidRDefault="00406DBF" w:rsidP="00AE40EE">
            <w:pPr>
              <w:tabs>
                <w:tab w:val="decimal" w:pos="344"/>
              </w:tabs>
              <w:spacing w:beforeLines="20" w:before="48" w:afterLines="20" w:after="48"/>
              <w:rPr>
                <w:sz w:val="16"/>
              </w:rPr>
            </w:pPr>
            <w:r w:rsidRPr="009F6AF9">
              <w:rPr>
                <w:sz w:val="16"/>
              </w:rPr>
              <w:t>94%</w:t>
            </w:r>
          </w:p>
        </w:tc>
        <w:tc>
          <w:tcPr>
            <w:tcW w:w="0" w:type="auto"/>
          </w:tcPr>
          <w:p w:rsidR="00406DBF" w:rsidRPr="009F6AF9" w:rsidRDefault="00406DBF" w:rsidP="00AE40EE">
            <w:pPr>
              <w:tabs>
                <w:tab w:val="decimal" w:pos="344"/>
              </w:tabs>
              <w:spacing w:beforeLines="20" w:before="48" w:afterLines="20" w:after="48"/>
              <w:rPr>
                <w:sz w:val="16"/>
              </w:rPr>
            </w:pPr>
            <w:r w:rsidRPr="009F6AF9">
              <w:rPr>
                <w:sz w:val="16"/>
              </w:rPr>
              <w:t>25%</w:t>
            </w:r>
          </w:p>
        </w:tc>
        <w:tc>
          <w:tcPr>
            <w:tcW w:w="0" w:type="auto"/>
          </w:tcPr>
          <w:p w:rsidR="00406DBF" w:rsidRPr="009F6AF9" w:rsidRDefault="00406DBF" w:rsidP="00AE40EE">
            <w:pPr>
              <w:spacing w:beforeLines="20" w:before="48" w:afterLines="20" w:after="48"/>
              <w:rPr>
                <w:sz w:val="16"/>
              </w:rPr>
            </w:pPr>
          </w:p>
        </w:tc>
        <w:tc>
          <w:tcPr>
            <w:tcW w:w="0" w:type="auto"/>
          </w:tcPr>
          <w:p w:rsidR="00406DBF" w:rsidRPr="009F6AF9" w:rsidRDefault="00406DBF" w:rsidP="00AE40EE">
            <w:pPr>
              <w:tabs>
                <w:tab w:val="decimal" w:pos="342"/>
              </w:tabs>
              <w:spacing w:beforeLines="20" w:before="48" w:afterLines="20" w:after="48"/>
              <w:rPr>
                <w:sz w:val="16"/>
              </w:rPr>
            </w:pPr>
            <w:r w:rsidRPr="009F6AF9">
              <w:rPr>
                <w:sz w:val="16"/>
              </w:rPr>
              <w:t>24%</w:t>
            </w:r>
          </w:p>
        </w:tc>
        <w:tc>
          <w:tcPr>
            <w:tcW w:w="0" w:type="auto"/>
          </w:tcPr>
          <w:p w:rsidR="00406DBF" w:rsidRPr="009F6AF9" w:rsidRDefault="00406DBF" w:rsidP="00AE40EE">
            <w:pPr>
              <w:tabs>
                <w:tab w:val="decimal" w:pos="342"/>
              </w:tabs>
              <w:spacing w:beforeLines="20" w:before="48" w:afterLines="20" w:after="48"/>
              <w:rPr>
                <w:sz w:val="16"/>
              </w:rPr>
            </w:pPr>
            <w:r w:rsidRPr="009F6AF9">
              <w:rPr>
                <w:sz w:val="16"/>
              </w:rPr>
              <w:t>0%</w:t>
            </w:r>
          </w:p>
        </w:tc>
      </w:tr>
      <w:tr w:rsidR="00406DBF" w:rsidRPr="009F6AF9" w:rsidTr="00E352E7">
        <w:tc>
          <w:tcPr>
            <w:tcW w:w="0" w:type="auto"/>
          </w:tcPr>
          <w:p w:rsidR="00406DBF" w:rsidRPr="009F6AF9" w:rsidRDefault="00406DBF" w:rsidP="00AE40EE">
            <w:pPr>
              <w:spacing w:beforeLines="20" w:before="48" w:afterLines="20" w:after="48"/>
              <w:ind w:left="180"/>
              <w:rPr>
                <w:sz w:val="16"/>
              </w:rPr>
            </w:pPr>
            <w:r w:rsidRPr="009F6AF9">
              <w:rPr>
                <w:sz w:val="16"/>
              </w:rPr>
              <w:t>Flaking / Scaling</w:t>
            </w:r>
          </w:p>
        </w:tc>
        <w:tc>
          <w:tcPr>
            <w:tcW w:w="0" w:type="auto"/>
          </w:tcPr>
          <w:p w:rsidR="00406DBF" w:rsidRPr="009F6AF9" w:rsidRDefault="00406DBF" w:rsidP="00AE40EE">
            <w:pPr>
              <w:tabs>
                <w:tab w:val="decimal" w:pos="344"/>
              </w:tabs>
              <w:spacing w:beforeLines="20" w:before="48" w:afterLines="20" w:after="48"/>
              <w:rPr>
                <w:sz w:val="16"/>
              </w:rPr>
            </w:pPr>
            <w:r w:rsidRPr="009F6AF9">
              <w:rPr>
                <w:sz w:val="16"/>
              </w:rPr>
              <w:t>85%</w:t>
            </w:r>
          </w:p>
        </w:tc>
        <w:tc>
          <w:tcPr>
            <w:tcW w:w="0" w:type="auto"/>
          </w:tcPr>
          <w:p w:rsidR="00406DBF" w:rsidRPr="009F6AF9" w:rsidRDefault="00406DBF" w:rsidP="00AE40EE">
            <w:pPr>
              <w:tabs>
                <w:tab w:val="decimal" w:pos="344"/>
              </w:tabs>
              <w:spacing w:beforeLines="20" w:before="48" w:afterLines="20" w:after="48"/>
              <w:rPr>
                <w:sz w:val="16"/>
              </w:rPr>
            </w:pPr>
            <w:r w:rsidRPr="009F6AF9">
              <w:rPr>
                <w:sz w:val="16"/>
              </w:rPr>
              <w:t>25%</w:t>
            </w:r>
          </w:p>
        </w:tc>
        <w:tc>
          <w:tcPr>
            <w:tcW w:w="0" w:type="auto"/>
          </w:tcPr>
          <w:p w:rsidR="00406DBF" w:rsidRPr="009F6AF9" w:rsidRDefault="00406DBF" w:rsidP="00AE40EE">
            <w:pPr>
              <w:spacing w:beforeLines="20" w:before="48" w:afterLines="20" w:after="48"/>
              <w:rPr>
                <w:sz w:val="16"/>
              </w:rPr>
            </w:pPr>
          </w:p>
        </w:tc>
        <w:tc>
          <w:tcPr>
            <w:tcW w:w="0" w:type="auto"/>
          </w:tcPr>
          <w:p w:rsidR="00406DBF" w:rsidRPr="009F6AF9" w:rsidRDefault="00406DBF" w:rsidP="00AE40EE">
            <w:pPr>
              <w:tabs>
                <w:tab w:val="decimal" w:pos="342"/>
              </w:tabs>
              <w:spacing w:beforeLines="20" w:before="48" w:afterLines="20" w:after="48"/>
              <w:rPr>
                <w:sz w:val="16"/>
              </w:rPr>
            </w:pPr>
            <w:r w:rsidRPr="009F6AF9">
              <w:rPr>
                <w:sz w:val="16"/>
              </w:rPr>
              <w:t>9%</w:t>
            </w:r>
          </w:p>
        </w:tc>
        <w:tc>
          <w:tcPr>
            <w:tcW w:w="0" w:type="auto"/>
          </w:tcPr>
          <w:p w:rsidR="00406DBF" w:rsidRPr="009F6AF9" w:rsidRDefault="00406DBF" w:rsidP="00AE40EE">
            <w:pPr>
              <w:tabs>
                <w:tab w:val="decimal" w:pos="342"/>
              </w:tabs>
              <w:spacing w:beforeLines="20" w:before="48" w:afterLines="20" w:after="48"/>
              <w:rPr>
                <w:sz w:val="16"/>
              </w:rPr>
            </w:pPr>
            <w:r w:rsidRPr="009F6AF9">
              <w:rPr>
                <w:sz w:val="16"/>
              </w:rPr>
              <w:t>0%</w:t>
            </w:r>
          </w:p>
        </w:tc>
      </w:tr>
      <w:tr w:rsidR="00406DBF" w:rsidRPr="009F6AF9" w:rsidTr="00E352E7">
        <w:tc>
          <w:tcPr>
            <w:tcW w:w="0" w:type="auto"/>
          </w:tcPr>
          <w:p w:rsidR="00406DBF" w:rsidRPr="009F6AF9" w:rsidRDefault="00406DBF" w:rsidP="00AE40EE">
            <w:pPr>
              <w:spacing w:beforeLines="20" w:before="48" w:afterLines="20" w:after="48"/>
              <w:ind w:left="180"/>
              <w:rPr>
                <w:sz w:val="16"/>
              </w:rPr>
            </w:pPr>
            <w:r w:rsidRPr="009F6AF9">
              <w:rPr>
                <w:sz w:val="16"/>
              </w:rPr>
              <w:t>Crusting</w:t>
            </w:r>
          </w:p>
        </w:tc>
        <w:tc>
          <w:tcPr>
            <w:tcW w:w="0" w:type="auto"/>
          </w:tcPr>
          <w:p w:rsidR="00406DBF" w:rsidRPr="009F6AF9" w:rsidRDefault="00406DBF" w:rsidP="00AE40EE">
            <w:pPr>
              <w:tabs>
                <w:tab w:val="decimal" w:pos="344"/>
              </w:tabs>
              <w:spacing w:beforeLines="20" w:before="48" w:afterLines="20" w:after="48"/>
              <w:rPr>
                <w:sz w:val="16"/>
              </w:rPr>
            </w:pPr>
            <w:r w:rsidRPr="009F6AF9">
              <w:rPr>
                <w:sz w:val="16"/>
              </w:rPr>
              <w:t>80%</w:t>
            </w:r>
          </w:p>
        </w:tc>
        <w:tc>
          <w:tcPr>
            <w:tcW w:w="0" w:type="auto"/>
          </w:tcPr>
          <w:p w:rsidR="00406DBF" w:rsidRPr="009F6AF9" w:rsidRDefault="00406DBF" w:rsidP="00AE40EE">
            <w:pPr>
              <w:tabs>
                <w:tab w:val="decimal" w:pos="344"/>
              </w:tabs>
              <w:spacing w:beforeLines="20" w:before="48" w:afterLines="20" w:after="48"/>
              <w:rPr>
                <w:sz w:val="16"/>
              </w:rPr>
            </w:pPr>
            <w:r w:rsidRPr="009F6AF9">
              <w:rPr>
                <w:sz w:val="16"/>
              </w:rPr>
              <w:t>17%</w:t>
            </w:r>
          </w:p>
        </w:tc>
        <w:tc>
          <w:tcPr>
            <w:tcW w:w="0" w:type="auto"/>
          </w:tcPr>
          <w:p w:rsidR="00406DBF" w:rsidRPr="009F6AF9" w:rsidRDefault="00406DBF" w:rsidP="00AE40EE">
            <w:pPr>
              <w:spacing w:beforeLines="20" w:before="48" w:afterLines="20" w:after="48"/>
              <w:rPr>
                <w:sz w:val="16"/>
              </w:rPr>
            </w:pPr>
          </w:p>
        </w:tc>
        <w:tc>
          <w:tcPr>
            <w:tcW w:w="0" w:type="auto"/>
          </w:tcPr>
          <w:p w:rsidR="00406DBF" w:rsidRPr="009F6AF9" w:rsidRDefault="00406DBF" w:rsidP="00AE40EE">
            <w:pPr>
              <w:tabs>
                <w:tab w:val="decimal" w:pos="342"/>
              </w:tabs>
              <w:spacing w:beforeLines="20" w:before="48" w:afterLines="20" w:after="48"/>
              <w:rPr>
                <w:sz w:val="16"/>
              </w:rPr>
            </w:pPr>
            <w:r w:rsidRPr="009F6AF9">
              <w:rPr>
                <w:sz w:val="16"/>
              </w:rPr>
              <w:t>6%</w:t>
            </w:r>
          </w:p>
        </w:tc>
        <w:tc>
          <w:tcPr>
            <w:tcW w:w="0" w:type="auto"/>
          </w:tcPr>
          <w:p w:rsidR="00406DBF" w:rsidRPr="009F6AF9" w:rsidRDefault="00406DBF" w:rsidP="00AE40EE">
            <w:pPr>
              <w:tabs>
                <w:tab w:val="decimal" w:pos="342"/>
              </w:tabs>
              <w:spacing w:beforeLines="20" w:before="48" w:afterLines="20" w:after="48"/>
              <w:rPr>
                <w:sz w:val="16"/>
              </w:rPr>
            </w:pPr>
            <w:r w:rsidRPr="009F6AF9">
              <w:rPr>
                <w:sz w:val="16"/>
              </w:rPr>
              <w:t>0%</w:t>
            </w:r>
          </w:p>
        </w:tc>
      </w:tr>
      <w:tr w:rsidR="00406DBF" w:rsidRPr="009F6AF9" w:rsidTr="00E352E7">
        <w:tc>
          <w:tcPr>
            <w:tcW w:w="0" w:type="auto"/>
          </w:tcPr>
          <w:p w:rsidR="00406DBF" w:rsidRPr="009F6AF9" w:rsidRDefault="00406DBF" w:rsidP="00AE40EE">
            <w:pPr>
              <w:spacing w:beforeLines="20" w:before="48" w:afterLines="20" w:after="48"/>
              <w:ind w:left="180"/>
              <w:rPr>
                <w:sz w:val="16"/>
              </w:rPr>
            </w:pPr>
            <w:r w:rsidRPr="009F6AF9">
              <w:rPr>
                <w:sz w:val="16"/>
              </w:rPr>
              <w:t>Swelling</w:t>
            </w:r>
          </w:p>
        </w:tc>
        <w:tc>
          <w:tcPr>
            <w:tcW w:w="0" w:type="auto"/>
          </w:tcPr>
          <w:p w:rsidR="00406DBF" w:rsidRPr="009F6AF9" w:rsidRDefault="00406DBF" w:rsidP="00AE40EE">
            <w:pPr>
              <w:tabs>
                <w:tab w:val="decimal" w:pos="344"/>
              </w:tabs>
              <w:spacing w:beforeLines="20" w:before="48" w:afterLines="20" w:after="48"/>
              <w:rPr>
                <w:sz w:val="16"/>
              </w:rPr>
            </w:pPr>
            <w:r w:rsidRPr="009F6AF9">
              <w:rPr>
                <w:sz w:val="16"/>
              </w:rPr>
              <w:t>79%</w:t>
            </w:r>
          </w:p>
        </w:tc>
        <w:tc>
          <w:tcPr>
            <w:tcW w:w="0" w:type="auto"/>
          </w:tcPr>
          <w:p w:rsidR="00406DBF" w:rsidRPr="009F6AF9" w:rsidRDefault="00406DBF" w:rsidP="00AE40EE">
            <w:pPr>
              <w:tabs>
                <w:tab w:val="decimal" w:pos="344"/>
              </w:tabs>
              <w:spacing w:beforeLines="20" w:before="48" w:afterLines="20" w:after="48"/>
              <w:rPr>
                <w:sz w:val="16"/>
              </w:rPr>
            </w:pPr>
            <w:r w:rsidRPr="009F6AF9">
              <w:rPr>
                <w:sz w:val="16"/>
              </w:rPr>
              <w:t>4%</w:t>
            </w:r>
          </w:p>
        </w:tc>
        <w:tc>
          <w:tcPr>
            <w:tcW w:w="0" w:type="auto"/>
          </w:tcPr>
          <w:p w:rsidR="00406DBF" w:rsidRPr="009F6AF9" w:rsidRDefault="00406DBF" w:rsidP="00AE40EE">
            <w:pPr>
              <w:spacing w:beforeLines="20" w:before="48" w:afterLines="20" w:after="48"/>
              <w:rPr>
                <w:sz w:val="16"/>
              </w:rPr>
            </w:pPr>
          </w:p>
        </w:tc>
        <w:tc>
          <w:tcPr>
            <w:tcW w:w="0" w:type="auto"/>
          </w:tcPr>
          <w:p w:rsidR="00406DBF" w:rsidRPr="009F6AF9" w:rsidRDefault="00406DBF" w:rsidP="00AE40EE">
            <w:pPr>
              <w:tabs>
                <w:tab w:val="decimal" w:pos="342"/>
              </w:tabs>
              <w:spacing w:beforeLines="20" w:before="48" w:afterLines="20" w:after="48"/>
              <w:rPr>
                <w:sz w:val="16"/>
              </w:rPr>
            </w:pPr>
            <w:r w:rsidRPr="009F6AF9">
              <w:rPr>
                <w:sz w:val="16"/>
              </w:rPr>
              <w:t>5%</w:t>
            </w:r>
          </w:p>
        </w:tc>
        <w:tc>
          <w:tcPr>
            <w:tcW w:w="0" w:type="auto"/>
          </w:tcPr>
          <w:p w:rsidR="00406DBF" w:rsidRPr="009F6AF9" w:rsidRDefault="00406DBF" w:rsidP="00AE40EE">
            <w:pPr>
              <w:tabs>
                <w:tab w:val="decimal" w:pos="342"/>
              </w:tabs>
              <w:spacing w:beforeLines="20" w:before="48" w:afterLines="20" w:after="48"/>
              <w:rPr>
                <w:sz w:val="16"/>
              </w:rPr>
            </w:pPr>
            <w:r w:rsidRPr="009F6AF9">
              <w:rPr>
                <w:sz w:val="16"/>
              </w:rPr>
              <w:t>0%</w:t>
            </w:r>
          </w:p>
        </w:tc>
      </w:tr>
      <w:tr w:rsidR="00406DBF" w:rsidRPr="009F6AF9" w:rsidTr="00E352E7">
        <w:tc>
          <w:tcPr>
            <w:tcW w:w="0" w:type="auto"/>
          </w:tcPr>
          <w:p w:rsidR="00406DBF" w:rsidRPr="009F6AF9" w:rsidRDefault="00406DBF" w:rsidP="00AE40EE">
            <w:pPr>
              <w:spacing w:beforeLines="20" w:before="48" w:afterLines="20" w:after="48"/>
              <w:ind w:left="180"/>
              <w:rPr>
                <w:sz w:val="16"/>
              </w:rPr>
            </w:pPr>
            <w:proofErr w:type="spellStart"/>
            <w:r w:rsidRPr="009F6AF9">
              <w:rPr>
                <w:sz w:val="16"/>
              </w:rPr>
              <w:t>Vesiculation</w:t>
            </w:r>
            <w:proofErr w:type="spellEnd"/>
            <w:r w:rsidRPr="009F6AF9">
              <w:rPr>
                <w:sz w:val="16"/>
              </w:rPr>
              <w:t xml:space="preserve"> / </w:t>
            </w:r>
            <w:proofErr w:type="spellStart"/>
            <w:r w:rsidRPr="009F6AF9">
              <w:rPr>
                <w:sz w:val="16"/>
              </w:rPr>
              <w:t>Pustulation</w:t>
            </w:r>
            <w:proofErr w:type="spellEnd"/>
          </w:p>
        </w:tc>
        <w:tc>
          <w:tcPr>
            <w:tcW w:w="0" w:type="auto"/>
          </w:tcPr>
          <w:p w:rsidR="00406DBF" w:rsidRPr="009F6AF9" w:rsidRDefault="00406DBF" w:rsidP="00AE40EE">
            <w:pPr>
              <w:tabs>
                <w:tab w:val="decimal" w:pos="344"/>
              </w:tabs>
              <w:spacing w:beforeLines="20" w:before="48" w:afterLines="20" w:after="48"/>
              <w:rPr>
                <w:sz w:val="16"/>
              </w:rPr>
            </w:pPr>
            <w:r w:rsidRPr="009F6AF9">
              <w:rPr>
                <w:sz w:val="16"/>
              </w:rPr>
              <w:t>56%</w:t>
            </w:r>
          </w:p>
        </w:tc>
        <w:tc>
          <w:tcPr>
            <w:tcW w:w="0" w:type="auto"/>
          </w:tcPr>
          <w:p w:rsidR="00406DBF" w:rsidRPr="009F6AF9" w:rsidRDefault="00406DBF" w:rsidP="00AE40EE">
            <w:pPr>
              <w:tabs>
                <w:tab w:val="decimal" w:pos="344"/>
              </w:tabs>
              <w:spacing w:beforeLines="20" w:before="48" w:afterLines="20" w:after="48"/>
              <w:rPr>
                <w:sz w:val="16"/>
              </w:rPr>
            </w:pPr>
            <w:r w:rsidRPr="009F6AF9">
              <w:rPr>
                <w:sz w:val="16"/>
              </w:rPr>
              <w:t>0%</w:t>
            </w:r>
          </w:p>
        </w:tc>
        <w:tc>
          <w:tcPr>
            <w:tcW w:w="0" w:type="auto"/>
          </w:tcPr>
          <w:p w:rsidR="00406DBF" w:rsidRPr="009F6AF9" w:rsidRDefault="00406DBF" w:rsidP="00AE40EE">
            <w:pPr>
              <w:spacing w:beforeLines="20" w:before="48" w:afterLines="20" w:after="48"/>
              <w:rPr>
                <w:sz w:val="16"/>
              </w:rPr>
            </w:pPr>
          </w:p>
        </w:tc>
        <w:tc>
          <w:tcPr>
            <w:tcW w:w="0" w:type="auto"/>
          </w:tcPr>
          <w:p w:rsidR="00406DBF" w:rsidRPr="009F6AF9" w:rsidRDefault="00406DBF" w:rsidP="00AE40EE">
            <w:pPr>
              <w:tabs>
                <w:tab w:val="decimal" w:pos="342"/>
              </w:tabs>
              <w:spacing w:beforeLines="20" w:before="48" w:afterLines="20" w:after="48"/>
              <w:rPr>
                <w:sz w:val="16"/>
              </w:rPr>
            </w:pPr>
            <w:r w:rsidRPr="009F6AF9">
              <w:rPr>
                <w:sz w:val="16"/>
              </w:rPr>
              <w:t>5%</w:t>
            </w:r>
          </w:p>
        </w:tc>
        <w:tc>
          <w:tcPr>
            <w:tcW w:w="0" w:type="auto"/>
          </w:tcPr>
          <w:p w:rsidR="00406DBF" w:rsidRPr="009F6AF9" w:rsidRDefault="00406DBF" w:rsidP="00AE40EE">
            <w:pPr>
              <w:tabs>
                <w:tab w:val="decimal" w:pos="342"/>
              </w:tabs>
              <w:spacing w:beforeLines="20" w:before="48" w:afterLines="20" w:after="48"/>
              <w:rPr>
                <w:sz w:val="16"/>
              </w:rPr>
            </w:pPr>
            <w:r w:rsidRPr="009F6AF9">
              <w:rPr>
                <w:sz w:val="16"/>
              </w:rPr>
              <w:t>0%</w:t>
            </w:r>
          </w:p>
        </w:tc>
      </w:tr>
      <w:tr w:rsidR="00406DBF" w:rsidRPr="009F6AF9" w:rsidTr="00E352E7">
        <w:tc>
          <w:tcPr>
            <w:tcW w:w="0" w:type="auto"/>
          </w:tcPr>
          <w:p w:rsidR="00406DBF" w:rsidRPr="009F6AF9" w:rsidRDefault="00406DBF" w:rsidP="00AE40EE">
            <w:pPr>
              <w:spacing w:beforeLines="20" w:before="48" w:afterLines="20" w:after="48"/>
              <w:ind w:left="180"/>
              <w:rPr>
                <w:sz w:val="16"/>
              </w:rPr>
            </w:pPr>
            <w:r w:rsidRPr="009F6AF9">
              <w:rPr>
                <w:sz w:val="16"/>
              </w:rPr>
              <w:t>Erosion / Ulceration</w:t>
            </w:r>
          </w:p>
        </w:tc>
        <w:tc>
          <w:tcPr>
            <w:tcW w:w="0" w:type="auto"/>
          </w:tcPr>
          <w:p w:rsidR="00406DBF" w:rsidRPr="009F6AF9" w:rsidRDefault="00406DBF" w:rsidP="00AE40EE">
            <w:pPr>
              <w:tabs>
                <w:tab w:val="decimal" w:pos="344"/>
              </w:tabs>
              <w:spacing w:beforeLines="20" w:before="48" w:afterLines="20" w:after="48"/>
              <w:rPr>
                <w:sz w:val="16"/>
              </w:rPr>
            </w:pPr>
            <w:r w:rsidRPr="009F6AF9">
              <w:rPr>
                <w:sz w:val="16"/>
              </w:rPr>
              <w:t>32%</w:t>
            </w:r>
          </w:p>
        </w:tc>
        <w:tc>
          <w:tcPr>
            <w:tcW w:w="0" w:type="auto"/>
          </w:tcPr>
          <w:p w:rsidR="00406DBF" w:rsidRPr="009F6AF9" w:rsidRDefault="00406DBF" w:rsidP="00AE40EE">
            <w:pPr>
              <w:tabs>
                <w:tab w:val="decimal" w:pos="344"/>
              </w:tabs>
              <w:spacing w:beforeLines="20" w:before="48" w:afterLines="20" w:after="48"/>
              <w:rPr>
                <w:sz w:val="16"/>
              </w:rPr>
            </w:pPr>
            <w:r w:rsidRPr="009F6AF9">
              <w:rPr>
                <w:sz w:val="16"/>
              </w:rPr>
              <w:t>1%</w:t>
            </w:r>
          </w:p>
        </w:tc>
        <w:tc>
          <w:tcPr>
            <w:tcW w:w="0" w:type="auto"/>
          </w:tcPr>
          <w:p w:rsidR="00406DBF" w:rsidRPr="009F6AF9" w:rsidRDefault="00406DBF" w:rsidP="00AE40EE">
            <w:pPr>
              <w:spacing w:beforeLines="20" w:before="48" w:afterLines="20" w:after="48"/>
              <w:rPr>
                <w:sz w:val="16"/>
              </w:rPr>
            </w:pPr>
          </w:p>
        </w:tc>
        <w:tc>
          <w:tcPr>
            <w:tcW w:w="0" w:type="auto"/>
          </w:tcPr>
          <w:p w:rsidR="00406DBF" w:rsidRPr="009F6AF9" w:rsidRDefault="00406DBF" w:rsidP="00AE40EE">
            <w:pPr>
              <w:tabs>
                <w:tab w:val="decimal" w:pos="342"/>
              </w:tabs>
              <w:spacing w:beforeLines="20" w:before="48" w:afterLines="20" w:after="48"/>
              <w:rPr>
                <w:sz w:val="16"/>
              </w:rPr>
            </w:pPr>
            <w:r w:rsidRPr="009F6AF9">
              <w:rPr>
                <w:sz w:val="16"/>
              </w:rPr>
              <w:t>0%</w:t>
            </w:r>
          </w:p>
        </w:tc>
        <w:tc>
          <w:tcPr>
            <w:tcW w:w="0" w:type="auto"/>
          </w:tcPr>
          <w:p w:rsidR="00406DBF" w:rsidRPr="009F6AF9" w:rsidRDefault="00406DBF" w:rsidP="00AE40EE">
            <w:pPr>
              <w:tabs>
                <w:tab w:val="decimal" w:pos="342"/>
              </w:tabs>
              <w:spacing w:beforeLines="20" w:before="48" w:afterLines="20" w:after="48"/>
              <w:rPr>
                <w:sz w:val="16"/>
              </w:rPr>
            </w:pPr>
            <w:r w:rsidRPr="009F6AF9">
              <w:rPr>
                <w:sz w:val="16"/>
              </w:rPr>
              <w:t>0%</w:t>
            </w:r>
          </w:p>
        </w:tc>
      </w:tr>
      <w:tr w:rsidR="00406DBF" w:rsidRPr="009F6AF9" w:rsidTr="00406DBF">
        <w:tc>
          <w:tcPr>
            <w:tcW w:w="0" w:type="auto"/>
            <w:shd w:val="clear" w:color="auto" w:fill="D9D9D9"/>
          </w:tcPr>
          <w:p w:rsidR="00406DBF" w:rsidRPr="009F6AF9" w:rsidRDefault="00406DBF" w:rsidP="00AE40EE">
            <w:pPr>
              <w:spacing w:beforeLines="20" w:before="48" w:afterLines="20" w:after="48"/>
              <w:rPr>
                <w:sz w:val="16"/>
              </w:rPr>
            </w:pPr>
            <w:r w:rsidRPr="009F6AF9">
              <w:rPr>
                <w:sz w:val="16"/>
              </w:rPr>
              <w:t>Trunk and Extremities</w:t>
            </w:r>
          </w:p>
        </w:tc>
        <w:tc>
          <w:tcPr>
            <w:tcW w:w="0" w:type="auto"/>
            <w:shd w:val="clear" w:color="auto" w:fill="D9D9D9"/>
          </w:tcPr>
          <w:p w:rsidR="00406DBF" w:rsidRPr="009F6AF9" w:rsidRDefault="00406DBF" w:rsidP="00AE40EE">
            <w:pPr>
              <w:tabs>
                <w:tab w:val="decimal" w:pos="344"/>
              </w:tabs>
              <w:spacing w:beforeLines="20" w:before="48" w:afterLines="20" w:after="48"/>
              <w:rPr>
                <w:sz w:val="16"/>
              </w:rPr>
            </w:pPr>
            <w:r w:rsidRPr="009F6AF9">
              <w:rPr>
                <w:sz w:val="16"/>
              </w:rPr>
              <w:t>N=225</w:t>
            </w:r>
          </w:p>
        </w:tc>
        <w:tc>
          <w:tcPr>
            <w:tcW w:w="0" w:type="auto"/>
            <w:shd w:val="clear" w:color="auto" w:fill="D9D9D9"/>
          </w:tcPr>
          <w:p w:rsidR="00406DBF" w:rsidRPr="009F6AF9" w:rsidRDefault="00406DBF" w:rsidP="00AE40EE">
            <w:pPr>
              <w:tabs>
                <w:tab w:val="decimal" w:pos="344"/>
              </w:tabs>
              <w:spacing w:beforeLines="20" w:before="48" w:afterLines="20" w:after="48"/>
              <w:rPr>
                <w:sz w:val="16"/>
              </w:rPr>
            </w:pPr>
            <w:r w:rsidRPr="009F6AF9">
              <w:rPr>
                <w:sz w:val="16"/>
              </w:rPr>
              <w:t>N=232</w:t>
            </w:r>
          </w:p>
        </w:tc>
        <w:tc>
          <w:tcPr>
            <w:tcW w:w="0" w:type="auto"/>
            <w:shd w:val="clear" w:color="auto" w:fill="D9D9D9"/>
          </w:tcPr>
          <w:p w:rsidR="00406DBF" w:rsidRPr="009F6AF9" w:rsidRDefault="00406DBF" w:rsidP="00AE40EE">
            <w:pPr>
              <w:spacing w:beforeLines="20" w:before="48" w:afterLines="20" w:after="48"/>
              <w:rPr>
                <w:sz w:val="16"/>
              </w:rPr>
            </w:pPr>
          </w:p>
        </w:tc>
        <w:tc>
          <w:tcPr>
            <w:tcW w:w="0" w:type="auto"/>
            <w:shd w:val="clear" w:color="auto" w:fill="D9D9D9"/>
          </w:tcPr>
          <w:p w:rsidR="00406DBF" w:rsidRPr="009F6AF9" w:rsidRDefault="00406DBF" w:rsidP="00AE40EE">
            <w:pPr>
              <w:spacing w:beforeLines="20" w:before="48" w:afterLines="20" w:after="48"/>
              <w:rPr>
                <w:sz w:val="16"/>
              </w:rPr>
            </w:pPr>
            <w:r w:rsidRPr="009F6AF9">
              <w:rPr>
                <w:sz w:val="16"/>
              </w:rPr>
              <w:t>N=225</w:t>
            </w:r>
          </w:p>
        </w:tc>
        <w:tc>
          <w:tcPr>
            <w:tcW w:w="0" w:type="auto"/>
            <w:shd w:val="clear" w:color="auto" w:fill="D9D9D9"/>
          </w:tcPr>
          <w:p w:rsidR="00406DBF" w:rsidRPr="009F6AF9" w:rsidRDefault="00406DBF" w:rsidP="00AE40EE">
            <w:pPr>
              <w:spacing w:beforeLines="20" w:before="48" w:afterLines="20" w:after="48"/>
              <w:rPr>
                <w:sz w:val="16"/>
              </w:rPr>
            </w:pPr>
            <w:r w:rsidRPr="009F6AF9">
              <w:rPr>
                <w:sz w:val="16"/>
              </w:rPr>
              <w:t>N=232</w:t>
            </w:r>
          </w:p>
        </w:tc>
      </w:tr>
      <w:tr w:rsidR="00406DBF" w:rsidRPr="009F6AF9" w:rsidTr="00E352E7">
        <w:tc>
          <w:tcPr>
            <w:tcW w:w="0" w:type="auto"/>
          </w:tcPr>
          <w:p w:rsidR="00406DBF" w:rsidRPr="009F6AF9" w:rsidRDefault="00406DBF" w:rsidP="00AE40EE">
            <w:pPr>
              <w:spacing w:beforeLines="20" w:before="48" w:afterLines="20" w:after="48"/>
              <w:ind w:left="180"/>
              <w:rPr>
                <w:sz w:val="16"/>
              </w:rPr>
            </w:pPr>
            <w:r w:rsidRPr="009F6AF9">
              <w:rPr>
                <w:sz w:val="16"/>
              </w:rPr>
              <w:t>Erythema</w:t>
            </w:r>
          </w:p>
        </w:tc>
        <w:tc>
          <w:tcPr>
            <w:tcW w:w="0" w:type="auto"/>
          </w:tcPr>
          <w:p w:rsidR="00406DBF" w:rsidRPr="009F6AF9" w:rsidRDefault="00406DBF" w:rsidP="00AE40EE">
            <w:pPr>
              <w:tabs>
                <w:tab w:val="decimal" w:pos="344"/>
              </w:tabs>
              <w:spacing w:beforeLines="20" w:before="48" w:afterLines="20" w:after="48"/>
              <w:rPr>
                <w:sz w:val="16"/>
              </w:rPr>
            </w:pPr>
            <w:r w:rsidRPr="009F6AF9">
              <w:rPr>
                <w:sz w:val="16"/>
              </w:rPr>
              <w:t>92%</w:t>
            </w:r>
          </w:p>
        </w:tc>
        <w:tc>
          <w:tcPr>
            <w:tcW w:w="0" w:type="auto"/>
          </w:tcPr>
          <w:p w:rsidR="00406DBF" w:rsidRPr="009F6AF9" w:rsidRDefault="00406DBF" w:rsidP="00AE40EE">
            <w:pPr>
              <w:tabs>
                <w:tab w:val="decimal" w:pos="344"/>
              </w:tabs>
              <w:spacing w:beforeLines="20" w:before="48" w:afterLines="20" w:after="48"/>
              <w:rPr>
                <w:sz w:val="16"/>
              </w:rPr>
            </w:pPr>
            <w:r w:rsidRPr="009F6AF9">
              <w:rPr>
                <w:sz w:val="16"/>
              </w:rPr>
              <w:t>19%</w:t>
            </w:r>
          </w:p>
        </w:tc>
        <w:tc>
          <w:tcPr>
            <w:tcW w:w="0" w:type="auto"/>
          </w:tcPr>
          <w:p w:rsidR="00406DBF" w:rsidRPr="009F6AF9" w:rsidRDefault="00406DBF" w:rsidP="00AE40EE">
            <w:pPr>
              <w:spacing w:beforeLines="20" w:before="48" w:afterLines="20" w:after="48"/>
              <w:rPr>
                <w:sz w:val="16"/>
              </w:rPr>
            </w:pPr>
          </w:p>
        </w:tc>
        <w:tc>
          <w:tcPr>
            <w:tcW w:w="0" w:type="auto"/>
          </w:tcPr>
          <w:p w:rsidR="00406DBF" w:rsidRPr="009F6AF9" w:rsidRDefault="00406DBF" w:rsidP="00AE40EE">
            <w:pPr>
              <w:tabs>
                <w:tab w:val="decimal" w:pos="338"/>
              </w:tabs>
              <w:spacing w:beforeLines="20" w:before="48" w:afterLines="20" w:after="48"/>
              <w:rPr>
                <w:sz w:val="16"/>
              </w:rPr>
            </w:pPr>
            <w:r w:rsidRPr="009F6AF9">
              <w:rPr>
                <w:sz w:val="16"/>
              </w:rPr>
              <w:t>15%</w:t>
            </w:r>
          </w:p>
        </w:tc>
        <w:tc>
          <w:tcPr>
            <w:tcW w:w="0" w:type="auto"/>
          </w:tcPr>
          <w:p w:rsidR="00406DBF" w:rsidRPr="009F6AF9" w:rsidRDefault="00406DBF" w:rsidP="00AE40EE">
            <w:pPr>
              <w:tabs>
                <w:tab w:val="decimal" w:pos="338"/>
              </w:tabs>
              <w:spacing w:beforeLines="20" w:before="48" w:afterLines="20" w:after="48"/>
              <w:rPr>
                <w:sz w:val="16"/>
              </w:rPr>
            </w:pPr>
            <w:r w:rsidRPr="009F6AF9">
              <w:rPr>
                <w:sz w:val="16"/>
              </w:rPr>
              <w:t>0%</w:t>
            </w:r>
          </w:p>
        </w:tc>
      </w:tr>
      <w:tr w:rsidR="00406DBF" w:rsidRPr="009F6AF9" w:rsidTr="00E352E7">
        <w:tc>
          <w:tcPr>
            <w:tcW w:w="0" w:type="auto"/>
          </w:tcPr>
          <w:p w:rsidR="00406DBF" w:rsidRPr="009F6AF9" w:rsidRDefault="00406DBF" w:rsidP="00AE40EE">
            <w:pPr>
              <w:spacing w:beforeLines="20" w:before="48" w:afterLines="20" w:after="48"/>
              <w:ind w:left="180"/>
              <w:rPr>
                <w:sz w:val="16"/>
              </w:rPr>
            </w:pPr>
            <w:r w:rsidRPr="009F6AF9">
              <w:rPr>
                <w:sz w:val="16"/>
              </w:rPr>
              <w:t>Flaking / Scaling</w:t>
            </w:r>
          </w:p>
        </w:tc>
        <w:tc>
          <w:tcPr>
            <w:tcW w:w="0" w:type="auto"/>
          </w:tcPr>
          <w:p w:rsidR="00406DBF" w:rsidRPr="009F6AF9" w:rsidRDefault="00406DBF" w:rsidP="00AE40EE">
            <w:pPr>
              <w:tabs>
                <w:tab w:val="decimal" w:pos="344"/>
              </w:tabs>
              <w:spacing w:beforeLines="20" w:before="48" w:afterLines="20" w:after="48"/>
              <w:rPr>
                <w:sz w:val="16"/>
              </w:rPr>
            </w:pPr>
            <w:r w:rsidRPr="009F6AF9">
              <w:rPr>
                <w:sz w:val="16"/>
              </w:rPr>
              <w:t>90%</w:t>
            </w:r>
          </w:p>
        </w:tc>
        <w:tc>
          <w:tcPr>
            <w:tcW w:w="0" w:type="auto"/>
          </w:tcPr>
          <w:p w:rsidR="00406DBF" w:rsidRPr="009F6AF9" w:rsidRDefault="00406DBF" w:rsidP="00AE40EE">
            <w:pPr>
              <w:tabs>
                <w:tab w:val="decimal" w:pos="344"/>
              </w:tabs>
              <w:spacing w:beforeLines="20" w:before="48" w:afterLines="20" w:after="48"/>
              <w:rPr>
                <w:sz w:val="16"/>
              </w:rPr>
            </w:pPr>
            <w:r w:rsidRPr="009F6AF9">
              <w:rPr>
                <w:sz w:val="16"/>
              </w:rPr>
              <w:t>19%</w:t>
            </w:r>
          </w:p>
        </w:tc>
        <w:tc>
          <w:tcPr>
            <w:tcW w:w="0" w:type="auto"/>
          </w:tcPr>
          <w:p w:rsidR="00406DBF" w:rsidRPr="009F6AF9" w:rsidRDefault="00406DBF" w:rsidP="00AE40EE">
            <w:pPr>
              <w:spacing w:beforeLines="20" w:before="48" w:afterLines="20" w:after="48"/>
              <w:rPr>
                <w:sz w:val="16"/>
              </w:rPr>
            </w:pPr>
          </w:p>
        </w:tc>
        <w:tc>
          <w:tcPr>
            <w:tcW w:w="0" w:type="auto"/>
          </w:tcPr>
          <w:p w:rsidR="00406DBF" w:rsidRPr="009F6AF9" w:rsidRDefault="00406DBF" w:rsidP="00AE40EE">
            <w:pPr>
              <w:tabs>
                <w:tab w:val="decimal" w:pos="338"/>
              </w:tabs>
              <w:spacing w:beforeLines="20" w:before="48" w:afterLines="20" w:after="48"/>
              <w:rPr>
                <w:sz w:val="16"/>
              </w:rPr>
            </w:pPr>
            <w:r w:rsidRPr="009F6AF9">
              <w:rPr>
                <w:sz w:val="16"/>
              </w:rPr>
              <w:t>8%</w:t>
            </w:r>
          </w:p>
        </w:tc>
        <w:tc>
          <w:tcPr>
            <w:tcW w:w="0" w:type="auto"/>
          </w:tcPr>
          <w:p w:rsidR="00406DBF" w:rsidRPr="009F6AF9" w:rsidRDefault="00406DBF" w:rsidP="00AE40EE">
            <w:pPr>
              <w:tabs>
                <w:tab w:val="decimal" w:pos="338"/>
              </w:tabs>
              <w:spacing w:beforeLines="20" w:before="48" w:afterLines="20" w:after="48"/>
              <w:rPr>
                <w:sz w:val="16"/>
              </w:rPr>
            </w:pPr>
            <w:r w:rsidRPr="009F6AF9">
              <w:rPr>
                <w:sz w:val="16"/>
              </w:rPr>
              <w:t>0%</w:t>
            </w:r>
          </w:p>
        </w:tc>
      </w:tr>
      <w:tr w:rsidR="00406DBF" w:rsidRPr="009F6AF9" w:rsidTr="00E352E7">
        <w:tc>
          <w:tcPr>
            <w:tcW w:w="0" w:type="auto"/>
          </w:tcPr>
          <w:p w:rsidR="00406DBF" w:rsidRPr="009F6AF9" w:rsidRDefault="00406DBF" w:rsidP="00AE40EE">
            <w:pPr>
              <w:spacing w:beforeLines="20" w:before="48" w:afterLines="20" w:after="48"/>
              <w:ind w:left="180"/>
              <w:rPr>
                <w:sz w:val="16"/>
              </w:rPr>
            </w:pPr>
            <w:r w:rsidRPr="009F6AF9">
              <w:rPr>
                <w:sz w:val="16"/>
              </w:rPr>
              <w:t>Crusting</w:t>
            </w:r>
          </w:p>
        </w:tc>
        <w:tc>
          <w:tcPr>
            <w:tcW w:w="0" w:type="auto"/>
          </w:tcPr>
          <w:p w:rsidR="00406DBF" w:rsidRPr="009F6AF9" w:rsidRDefault="00406DBF" w:rsidP="00AE40EE">
            <w:pPr>
              <w:tabs>
                <w:tab w:val="decimal" w:pos="344"/>
              </w:tabs>
              <w:spacing w:beforeLines="20" w:before="48" w:afterLines="20" w:after="48"/>
              <w:rPr>
                <w:sz w:val="16"/>
              </w:rPr>
            </w:pPr>
            <w:r w:rsidRPr="009F6AF9">
              <w:rPr>
                <w:sz w:val="16"/>
              </w:rPr>
              <w:t>74%</w:t>
            </w:r>
          </w:p>
        </w:tc>
        <w:tc>
          <w:tcPr>
            <w:tcW w:w="0" w:type="auto"/>
          </w:tcPr>
          <w:p w:rsidR="00406DBF" w:rsidRPr="009F6AF9" w:rsidRDefault="00406DBF" w:rsidP="00AE40EE">
            <w:pPr>
              <w:tabs>
                <w:tab w:val="decimal" w:pos="344"/>
              </w:tabs>
              <w:spacing w:beforeLines="20" w:before="48" w:afterLines="20" w:after="48"/>
              <w:rPr>
                <w:sz w:val="16"/>
              </w:rPr>
            </w:pPr>
            <w:r w:rsidRPr="009F6AF9">
              <w:rPr>
                <w:sz w:val="16"/>
              </w:rPr>
              <w:t>10%</w:t>
            </w:r>
          </w:p>
        </w:tc>
        <w:tc>
          <w:tcPr>
            <w:tcW w:w="0" w:type="auto"/>
          </w:tcPr>
          <w:p w:rsidR="00406DBF" w:rsidRPr="009F6AF9" w:rsidRDefault="00406DBF" w:rsidP="00AE40EE">
            <w:pPr>
              <w:spacing w:beforeLines="20" w:before="48" w:afterLines="20" w:after="48"/>
              <w:rPr>
                <w:sz w:val="16"/>
              </w:rPr>
            </w:pPr>
          </w:p>
        </w:tc>
        <w:tc>
          <w:tcPr>
            <w:tcW w:w="0" w:type="auto"/>
          </w:tcPr>
          <w:p w:rsidR="00406DBF" w:rsidRPr="009F6AF9" w:rsidRDefault="00406DBF" w:rsidP="00AE40EE">
            <w:pPr>
              <w:tabs>
                <w:tab w:val="decimal" w:pos="338"/>
              </w:tabs>
              <w:spacing w:beforeLines="20" w:before="48" w:afterLines="20" w:after="48"/>
              <w:rPr>
                <w:sz w:val="16"/>
              </w:rPr>
            </w:pPr>
            <w:r w:rsidRPr="009F6AF9">
              <w:rPr>
                <w:sz w:val="16"/>
              </w:rPr>
              <w:t>4%</w:t>
            </w:r>
          </w:p>
        </w:tc>
        <w:tc>
          <w:tcPr>
            <w:tcW w:w="0" w:type="auto"/>
          </w:tcPr>
          <w:p w:rsidR="00406DBF" w:rsidRPr="009F6AF9" w:rsidRDefault="00406DBF" w:rsidP="00AE40EE">
            <w:pPr>
              <w:tabs>
                <w:tab w:val="decimal" w:pos="338"/>
              </w:tabs>
              <w:spacing w:beforeLines="20" w:before="48" w:afterLines="20" w:after="48"/>
              <w:rPr>
                <w:sz w:val="16"/>
              </w:rPr>
            </w:pPr>
            <w:r w:rsidRPr="009F6AF9">
              <w:rPr>
                <w:sz w:val="16"/>
              </w:rPr>
              <w:t>0%</w:t>
            </w:r>
          </w:p>
        </w:tc>
      </w:tr>
      <w:tr w:rsidR="00406DBF" w:rsidRPr="009F6AF9" w:rsidTr="00E352E7">
        <w:tc>
          <w:tcPr>
            <w:tcW w:w="0" w:type="auto"/>
          </w:tcPr>
          <w:p w:rsidR="00406DBF" w:rsidRPr="009F6AF9" w:rsidRDefault="00406DBF" w:rsidP="00AE40EE">
            <w:pPr>
              <w:spacing w:beforeLines="20" w:before="48" w:afterLines="20" w:after="48"/>
              <w:ind w:left="180"/>
              <w:rPr>
                <w:sz w:val="16"/>
              </w:rPr>
            </w:pPr>
            <w:r w:rsidRPr="009F6AF9">
              <w:rPr>
                <w:sz w:val="16"/>
              </w:rPr>
              <w:t>Swelling</w:t>
            </w:r>
          </w:p>
        </w:tc>
        <w:tc>
          <w:tcPr>
            <w:tcW w:w="0" w:type="auto"/>
          </w:tcPr>
          <w:p w:rsidR="00406DBF" w:rsidRPr="009F6AF9" w:rsidRDefault="00406DBF" w:rsidP="00AE40EE">
            <w:pPr>
              <w:tabs>
                <w:tab w:val="decimal" w:pos="344"/>
              </w:tabs>
              <w:spacing w:beforeLines="20" w:before="48" w:afterLines="20" w:after="48"/>
              <w:rPr>
                <w:sz w:val="16"/>
              </w:rPr>
            </w:pPr>
            <w:r w:rsidRPr="009F6AF9">
              <w:rPr>
                <w:sz w:val="16"/>
              </w:rPr>
              <w:t>64%</w:t>
            </w:r>
          </w:p>
        </w:tc>
        <w:tc>
          <w:tcPr>
            <w:tcW w:w="0" w:type="auto"/>
          </w:tcPr>
          <w:p w:rsidR="00406DBF" w:rsidRPr="009F6AF9" w:rsidRDefault="00406DBF" w:rsidP="00AE40EE">
            <w:pPr>
              <w:tabs>
                <w:tab w:val="decimal" w:pos="344"/>
              </w:tabs>
              <w:spacing w:beforeLines="20" w:before="48" w:afterLines="20" w:after="48"/>
              <w:rPr>
                <w:sz w:val="16"/>
              </w:rPr>
            </w:pPr>
            <w:r w:rsidRPr="009F6AF9">
              <w:rPr>
                <w:sz w:val="16"/>
              </w:rPr>
              <w:t>6%</w:t>
            </w:r>
          </w:p>
        </w:tc>
        <w:tc>
          <w:tcPr>
            <w:tcW w:w="0" w:type="auto"/>
          </w:tcPr>
          <w:p w:rsidR="00406DBF" w:rsidRPr="009F6AF9" w:rsidRDefault="00406DBF" w:rsidP="00AE40EE">
            <w:pPr>
              <w:spacing w:beforeLines="20" w:before="48" w:afterLines="20" w:after="48"/>
              <w:rPr>
                <w:sz w:val="16"/>
              </w:rPr>
            </w:pPr>
          </w:p>
        </w:tc>
        <w:tc>
          <w:tcPr>
            <w:tcW w:w="0" w:type="auto"/>
          </w:tcPr>
          <w:p w:rsidR="00406DBF" w:rsidRPr="009F6AF9" w:rsidRDefault="00406DBF" w:rsidP="00AE40EE">
            <w:pPr>
              <w:tabs>
                <w:tab w:val="decimal" w:pos="338"/>
              </w:tabs>
              <w:spacing w:beforeLines="20" w:before="48" w:afterLines="20" w:after="48"/>
              <w:rPr>
                <w:sz w:val="16"/>
              </w:rPr>
            </w:pPr>
            <w:r w:rsidRPr="009F6AF9">
              <w:rPr>
                <w:sz w:val="16"/>
              </w:rPr>
              <w:t>3%</w:t>
            </w:r>
          </w:p>
        </w:tc>
        <w:tc>
          <w:tcPr>
            <w:tcW w:w="0" w:type="auto"/>
          </w:tcPr>
          <w:p w:rsidR="00406DBF" w:rsidRPr="009F6AF9" w:rsidRDefault="00406DBF" w:rsidP="00AE40EE">
            <w:pPr>
              <w:tabs>
                <w:tab w:val="decimal" w:pos="338"/>
              </w:tabs>
              <w:spacing w:beforeLines="20" w:before="48" w:afterLines="20" w:after="48"/>
              <w:rPr>
                <w:sz w:val="16"/>
              </w:rPr>
            </w:pPr>
            <w:r w:rsidRPr="009F6AF9">
              <w:rPr>
                <w:sz w:val="16"/>
              </w:rPr>
              <w:t>0%</w:t>
            </w:r>
          </w:p>
        </w:tc>
      </w:tr>
      <w:tr w:rsidR="00406DBF" w:rsidRPr="009F6AF9" w:rsidTr="00E352E7">
        <w:tc>
          <w:tcPr>
            <w:tcW w:w="0" w:type="auto"/>
          </w:tcPr>
          <w:p w:rsidR="00406DBF" w:rsidRPr="009F6AF9" w:rsidRDefault="00406DBF" w:rsidP="00AE40EE">
            <w:pPr>
              <w:spacing w:beforeLines="20" w:before="48" w:afterLines="20" w:after="48"/>
              <w:ind w:left="180"/>
              <w:rPr>
                <w:sz w:val="16"/>
              </w:rPr>
            </w:pPr>
            <w:proofErr w:type="spellStart"/>
            <w:r w:rsidRPr="009F6AF9">
              <w:rPr>
                <w:sz w:val="16"/>
              </w:rPr>
              <w:t>Vesiculation</w:t>
            </w:r>
            <w:proofErr w:type="spellEnd"/>
            <w:r w:rsidRPr="009F6AF9">
              <w:rPr>
                <w:sz w:val="16"/>
              </w:rPr>
              <w:t xml:space="preserve"> / </w:t>
            </w:r>
            <w:proofErr w:type="spellStart"/>
            <w:r w:rsidRPr="009F6AF9">
              <w:rPr>
                <w:sz w:val="16"/>
              </w:rPr>
              <w:t>Pustulation</w:t>
            </w:r>
            <w:proofErr w:type="spellEnd"/>
          </w:p>
        </w:tc>
        <w:tc>
          <w:tcPr>
            <w:tcW w:w="0" w:type="auto"/>
          </w:tcPr>
          <w:p w:rsidR="00406DBF" w:rsidRPr="009F6AF9" w:rsidRDefault="00406DBF" w:rsidP="00AE40EE">
            <w:pPr>
              <w:tabs>
                <w:tab w:val="decimal" w:pos="344"/>
              </w:tabs>
              <w:spacing w:beforeLines="20" w:before="48" w:afterLines="20" w:after="48"/>
              <w:rPr>
                <w:sz w:val="16"/>
              </w:rPr>
            </w:pPr>
            <w:r w:rsidRPr="009F6AF9">
              <w:rPr>
                <w:sz w:val="16"/>
              </w:rPr>
              <w:t>44%</w:t>
            </w:r>
          </w:p>
        </w:tc>
        <w:tc>
          <w:tcPr>
            <w:tcW w:w="0" w:type="auto"/>
          </w:tcPr>
          <w:p w:rsidR="00406DBF" w:rsidRPr="009F6AF9" w:rsidRDefault="00406DBF" w:rsidP="00AE40EE">
            <w:pPr>
              <w:tabs>
                <w:tab w:val="decimal" w:pos="344"/>
              </w:tabs>
              <w:spacing w:beforeLines="20" w:before="48" w:afterLines="20" w:after="48"/>
              <w:rPr>
                <w:sz w:val="16"/>
              </w:rPr>
            </w:pPr>
            <w:r w:rsidRPr="009F6AF9">
              <w:rPr>
                <w:sz w:val="16"/>
              </w:rPr>
              <w:t>1%</w:t>
            </w:r>
          </w:p>
        </w:tc>
        <w:tc>
          <w:tcPr>
            <w:tcW w:w="0" w:type="auto"/>
          </w:tcPr>
          <w:p w:rsidR="00406DBF" w:rsidRPr="009F6AF9" w:rsidRDefault="00406DBF" w:rsidP="00AE40EE">
            <w:pPr>
              <w:spacing w:beforeLines="20" w:before="48" w:afterLines="20" w:after="48"/>
              <w:rPr>
                <w:sz w:val="16"/>
              </w:rPr>
            </w:pPr>
          </w:p>
        </w:tc>
        <w:tc>
          <w:tcPr>
            <w:tcW w:w="0" w:type="auto"/>
          </w:tcPr>
          <w:p w:rsidR="00406DBF" w:rsidRPr="009F6AF9" w:rsidRDefault="00406DBF" w:rsidP="00AE40EE">
            <w:pPr>
              <w:tabs>
                <w:tab w:val="decimal" w:pos="338"/>
              </w:tabs>
              <w:spacing w:beforeLines="20" w:before="48" w:afterLines="20" w:after="48"/>
              <w:rPr>
                <w:sz w:val="16"/>
              </w:rPr>
            </w:pPr>
            <w:r w:rsidRPr="009F6AF9">
              <w:rPr>
                <w:sz w:val="16"/>
              </w:rPr>
              <w:t>1%</w:t>
            </w:r>
          </w:p>
        </w:tc>
        <w:tc>
          <w:tcPr>
            <w:tcW w:w="0" w:type="auto"/>
          </w:tcPr>
          <w:p w:rsidR="00406DBF" w:rsidRPr="009F6AF9" w:rsidRDefault="00406DBF" w:rsidP="00AE40EE">
            <w:pPr>
              <w:tabs>
                <w:tab w:val="decimal" w:pos="338"/>
              </w:tabs>
              <w:spacing w:beforeLines="20" w:before="48" w:afterLines="20" w:after="48"/>
              <w:rPr>
                <w:sz w:val="16"/>
              </w:rPr>
            </w:pPr>
            <w:r w:rsidRPr="009F6AF9">
              <w:rPr>
                <w:sz w:val="16"/>
              </w:rPr>
              <w:t>0%</w:t>
            </w:r>
          </w:p>
        </w:tc>
      </w:tr>
      <w:tr w:rsidR="00406DBF" w:rsidRPr="009F6AF9" w:rsidTr="00E352E7">
        <w:tc>
          <w:tcPr>
            <w:tcW w:w="0" w:type="auto"/>
          </w:tcPr>
          <w:p w:rsidR="00406DBF" w:rsidRPr="009F6AF9" w:rsidRDefault="00406DBF" w:rsidP="00AE40EE">
            <w:pPr>
              <w:spacing w:beforeLines="20" w:before="48" w:afterLines="20" w:after="48"/>
              <w:ind w:left="180"/>
              <w:rPr>
                <w:sz w:val="16"/>
              </w:rPr>
            </w:pPr>
            <w:r w:rsidRPr="009F6AF9">
              <w:rPr>
                <w:sz w:val="16"/>
              </w:rPr>
              <w:t>Erosion / Ulceration</w:t>
            </w:r>
          </w:p>
        </w:tc>
        <w:tc>
          <w:tcPr>
            <w:tcW w:w="0" w:type="auto"/>
          </w:tcPr>
          <w:p w:rsidR="00406DBF" w:rsidRPr="009F6AF9" w:rsidRDefault="00406DBF" w:rsidP="00AE40EE">
            <w:pPr>
              <w:tabs>
                <w:tab w:val="decimal" w:pos="344"/>
              </w:tabs>
              <w:spacing w:beforeLines="20" w:before="48" w:afterLines="20" w:after="48"/>
              <w:rPr>
                <w:sz w:val="16"/>
              </w:rPr>
            </w:pPr>
            <w:r w:rsidRPr="009F6AF9">
              <w:rPr>
                <w:sz w:val="16"/>
              </w:rPr>
              <w:t>26%</w:t>
            </w:r>
          </w:p>
        </w:tc>
        <w:tc>
          <w:tcPr>
            <w:tcW w:w="0" w:type="auto"/>
          </w:tcPr>
          <w:p w:rsidR="00406DBF" w:rsidRPr="009F6AF9" w:rsidRDefault="00406DBF" w:rsidP="00AE40EE">
            <w:pPr>
              <w:tabs>
                <w:tab w:val="decimal" w:pos="344"/>
              </w:tabs>
              <w:spacing w:beforeLines="20" w:before="48" w:afterLines="20" w:after="48"/>
              <w:rPr>
                <w:sz w:val="16"/>
              </w:rPr>
            </w:pPr>
            <w:r w:rsidRPr="009F6AF9">
              <w:rPr>
                <w:sz w:val="16"/>
              </w:rPr>
              <w:t>3%</w:t>
            </w:r>
          </w:p>
        </w:tc>
        <w:tc>
          <w:tcPr>
            <w:tcW w:w="0" w:type="auto"/>
          </w:tcPr>
          <w:p w:rsidR="00406DBF" w:rsidRPr="009F6AF9" w:rsidRDefault="00406DBF" w:rsidP="00AE40EE">
            <w:pPr>
              <w:spacing w:beforeLines="20" w:before="48" w:afterLines="20" w:after="48"/>
              <w:rPr>
                <w:sz w:val="16"/>
              </w:rPr>
            </w:pPr>
          </w:p>
        </w:tc>
        <w:tc>
          <w:tcPr>
            <w:tcW w:w="0" w:type="auto"/>
          </w:tcPr>
          <w:p w:rsidR="00406DBF" w:rsidRPr="009F6AF9" w:rsidRDefault="00406DBF" w:rsidP="00AE40EE">
            <w:pPr>
              <w:tabs>
                <w:tab w:val="decimal" w:pos="338"/>
              </w:tabs>
              <w:spacing w:beforeLines="20" w:before="48" w:afterLines="20" w:after="48"/>
              <w:rPr>
                <w:sz w:val="16"/>
              </w:rPr>
            </w:pPr>
            <w:r w:rsidRPr="009F6AF9">
              <w:rPr>
                <w:sz w:val="16"/>
              </w:rPr>
              <w:t>1%</w:t>
            </w:r>
          </w:p>
        </w:tc>
        <w:tc>
          <w:tcPr>
            <w:tcW w:w="0" w:type="auto"/>
          </w:tcPr>
          <w:p w:rsidR="00406DBF" w:rsidRPr="009F6AF9" w:rsidRDefault="00406DBF" w:rsidP="00AE40EE">
            <w:pPr>
              <w:tabs>
                <w:tab w:val="decimal" w:pos="338"/>
              </w:tabs>
              <w:spacing w:beforeLines="20" w:before="48" w:afterLines="20" w:after="48"/>
              <w:rPr>
                <w:sz w:val="16"/>
              </w:rPr>
            </w:pPr>
            <w:r w:rsidRPr="009F6AF9">
              <w:rPr>
                <w:sz w:val="16"/>
              </w:rPr>
              <w:t>0%</w:t>
            </w:r>
          </w:p>
        </w:tc>
      </w:tr>
    </w:tbl>
    <w:p w:rsidR="00406DBF" w:rsidRDefault="00406DBF" w:rsidP="00406DBF">
      <w:pPr>
        <w:pStyle w:val="TableFootnote"/>
      </w:pPr>
      <w:r>
        <w:t xml:space="preserve">Grades:  1 Mild; 2–3 Moderate; 4 Severe. </w:t>
      </w:r>
      <w:proofErr w:type="gramStart"/>
      <w:r>
        <w:t xml:space="preserve">IMG, </w:t>
      </w:r>
      <w:proofErr w:type="spellStart"/>
      <w:r>
        <w:t>Ingenol</w:t>
      </w:r>
      <w:proofErr w:type="spellEnd"/>
      <w:r>
        <w:t xml:space="preserve"> </w:t>
      </w:r>
      <w:proofErr w:type="spellStart"/>
      <w:r>
        <w:t>mebutate</w:t>
      </w:r>
      <w:proofErr w:type="spellEnd"/>
      <w:r>
        <w:t xml:space="preserve"> gel.</w:t>
      </w:r>
      <w:proofErr w:type="gramEnd"/>
      <w:r>
        <w:t xml:space="preserve"> VEH, Vehicle</w:t>
      </w:r>
    </w:p>
    <w:p w:rsidR="00AE40EE" w:rsidRDefault="00AE40EE" w:rsidP="00406DBF">
      <w:pPr>
        <w:pStyle w:val="TableFootnote"/>
      </w:pPr>
    </w:p>
    <w:p w:rsidR="00406DBF" w:rsidRDefault="00406DBF" w:rsidP="006021ED">
      <w:pPr>
        <w:pStyle w:val="Caption"/>
        <w:tabs>
          <w:tab w:val="left" w:pos="900"/>
        </w:tabs>
      </w:pPr>
      <w:bookmarkStart w:id="19" w:name="_Ref379462675"/>
      <w:r>
        <w:t xml:space="preserve">Table </w:t>
      </w:r>
      <w:r w:rsidR="00017C36">
        <w:fldChar w:fldCharType="begin"/>
      </w:r>
      <w:r w:rsidR="00017C36">
        <w:instrText xml:space="preserve"> SEQ Table \* ARABIC </w:instrText>
      </w:r>
      <w:r w:rsidR="00017C36">
        <w:fldChar w:fldCharType="separate"/>
      </w:r>
      <w:r w:rsidR="00D93D73">
        <w:rPr>
          <w:noProof/>
        </w:rPr>
        <w:t>10</w:t>
      </w:r>
      <w:r w:rsidR="00017C36">
        <w:rPr>
          <w:noProof/>
        </w:rPr>
        <w:fldChar w:fldCharType="end"/>
      </w:r>
      <w:bookmarkEnd w:id="19"/>
      <w:r>
        <w:tab/>
      </w:r>
      <w:r w:rsidR="006021ED">
        <w:t xml:space="preserve">Rates of </w:t>
      </w:r>
      <w:r w:rsidR="00AA19B5">
        <w:t>Adverse Events</w:t>
      </w:r>
    </w:p>
    <w:tbl>
      <w:tblPr>
        <w:tblStyle w:val="TableColumns4"/>
        <w:tblpPr w:leftFromText="720" w:rightFromText="720" w:bottomFromText="288" w:vertAnchor="text" w:tblpY="1"/>
        <w:tblOverlap w:val="never"/>
        <w:tblW w:w="0" w:type="auto"/>
        <w:tblLook w:val="04A0" w:firstRow="1" w:lastRow="0" w:firstColumn="1" w:lastColumn="0" w:noHBand="0" w:noVBand="1"/>
      </w:tblPr>
      <w:tblGrid>
        <w:gridCol w:w="2149"/>
        <w:gridCol w:w="703"/>
        <w:gridCol w:w="703"/>
      </w:tblGrid>
      <w:tr w:rsidR="00FC6B01" w:rsidRPr="009F6AF9" w:rsidTr="00927164">
        <w:trPr>
          <w:cnfStyle w:val="100000000000" w:firstRow="1" w:lastRow="0" w:firstColumn="0" w:lastColumn="0" w:oddVBand="0" w:evenVBand="0" w:oddHBand="0" w:evenHBand="0" w:firstRowFirstColumn="0" w:firstRowLastColumn="0" w:lastRowFirstColumn="0" w:lastRowLastColumn="0"/>
        </w:trPr>
        <w:tc>
          <w:tcPr>
            <w:tcW w:w="0" w:type="auto"/>
            <w:shd w:val="clear" w:color="auto" w:fill="000000"/>
            <w:vAlign w:val="bottom"/>
          </w:tcPr>
          <w:p w:rsidR="00FC6B01" w:rsidRPr="009F6AF9" w:rsidRDefault="00FC6B01" w:rsidP="00AE40EE">
            <w:pPr>
              <w:keepNext/>
              <w:spacing w:before="40" w:after="40"/>
              <w:rPr>
                <w:b/>
                <w:sz w:val="16"/>
              </w:rPr>
            </w:pPr>
            <w:r w:rsidRPr="009F6AF9">
              <w:rPr>
                <w:b/>
                <w:sz w:val="16"/>
              </w:rPr>
              <w:t>Reaction</w:t>
            </w:r>
          </w:p>
        </w:tc>
        <w:tc>
          <w:tcPr>
            <w:tcW w:w="0" w:type="auto"/>
            <w:tcBorders>
              <w:top w:val="single" w:sz="4" w:space="0" w:color="FFFFFF"/>
            </w:tcBorders>
            <w:shd w:val="clear" w:color="auto" w:fill="000000"/>
            <w:vAlign w:val="bottom"/>
          </w:tcPr>
          <w:p w:rsidR="00FC6B01" w:rsidRPr="009F6AF9" w:rsidRDefault="00FC6B01" w:rsidP="00927164">
            <w:pPr>
              <w:keepNext/>
              <w:spacing w:before="40" w:after="40"/>
              <w:jc w:val="center"/>
              <w:rPr>
                <w:b/>
                <w:sz w:val="16"/>
              </w:rPr>
            </w:pPr>
            <w:r w:rsidRPr="009F6AF9">
              <w:rPr>
                <w:b/>
                <w:sz w:val="16"/>
              </w:rPr>
              <w:t>I</w:t>
            </w:r>
            <w:r w:rsidR="00927164" w:rsidRPr="009F6AF9">
              <w:rPr>
                <w:b/>
                <w:sz w:val="16"/>
              </w:rPr>
              <w:t>M</w:t>
            </w:r>
            <w:r w:rsidRPr="009F6AF9">
              <w:rPr>
                <w:b/>
                <w:sz w:val="16"/>
              </w:rPr>
              <w:t>G</w:t>
            </w:r>
          </w:p>
        </w:tc>
        <w:tc>
          <w:tcPr>
            <w:tcW w:w="0" w:type="auto"/>
            <w:tcBorders>
              <w:top w:val="single" w:sz="4" w:space="0" w:color="FFFFFF"/>
            </w:tcBorders>
            <w:shd w:val="clear" w:color="auto" w:fill="000000"/>
            <w:vAlign w:val="bottom"/>
          </w:tcPr>
          <w:p w:rsidR="00FC6B01" w:rsidRPr="009F6AF9" w:rsidRDefault="00FC6B01" w:rsidP="00927164">
            <w:pPr>
              <w:keepNext/>
              <w:spacing w:before="40" w:after="40"/>
              <w:jc w:val="center"/>
              <w:rPr>
                <w:b/>
                <w:sz w:val="16"/>
              </w:rPr>
            </w:pPr>
            <w:r w:rsidRPr="009F6AF9">
              <w:rPr>
                <w:b/>
                <w:sz w:val="16"/>
              </w:rPr>
              <w:t>VEH</w:t>
            </w:r>
          </w:p>
        </w:tc>
      </w:tr>
      <w:tr w:rsidR="00FC6B01" w:rsidRPr="009F6AF9" w:rsidTr="007176C9">
        <w:tc>
          <w:tcPr>
            <w:tcW w:w="0" w:type="auto"/>
            <w:shd w:val="clear" w:color="auto" w:fill="D9D9D9"/>
          </w:tcPr>
          <w:p w:rsidR="00FC6B01" w:rsidRPr="009F6AF9" w:rsidRDefault="00FC6B01" w:rsidP="007176C9">
            <w:pPr>
              <w:spacing w:before="40" w:after="40"/>
              <w:rPr>
                <w:sz w:val="16"/>
              </w:rPr>
            </w:pPr>
            <w:r w:rsidRPr="009F6AF9">
              <w:rPr>
                <w:sz w:val="16"/>
              </w:rPr>
              <w:t>Face and Scalp</w:t>
            </w:r>
          </w:p>
        </w:tc>
        <w:tc>
          <w:tcPr>
            <w:tcW w:w="0" w:type="auto"/>
            <w:shd w:val="clear" w:color="auto" w:fill="D9D9D9"/>
          </w:tcPr>
          <w:p w:rsidR="00FC6B01" w:rsidRPr="009F6AF9" w:rsidRDefault="00FC6B01" w:rsidP="007176C9">
            <w:pPr>
              <w:spacing w:before="40" w:after="40"/>
              <w:rPr>
                <w:sz w:val="16"/>
              </w:rPr>
            </w:pPr>
            <w:r w:rsidRPr="009F6AF9">
              <w:rPr>
                <w:sz w:val="16"/>
              </w:rPr>
              <w:t>N=274</w:t>
            </w:r>
          </w:p>
        </w:tc>
        <w:tc>
          <w:tcPr>
            <w:tcW w:w="0" w:type="auto"/>
            <w:shd w:val="clear" w:color="auto" w:fill="D9D9D9"/>
          </w:tcPr>
          <w:p w:rsidR="00FC6B01" w:rsidRPr="009F6AF9" w:rsidRDefault="00FC6B01" w:rsidP="007176C9">
            <w:pPr>
              <w:spacing w:before="40" w:after="40"/>
              <w:rPr>
                <w:sz w:val="16"/>
              </w:rPr>
            </w:pPr>
            <w:r w:rsidRPr="009F6AF9">
              <w:rPr>
                <w:sz w:val="16"/>
              </w:rPr>
              <w:t>N=271</w:t>
            </w:r>
          </w:p>
        </w:tc>
      </w:tr>
      <w:tr w:rsidR="00FC6B01" w:rsidRPr="009F6AF9" w:rsidTr="007176C9">
        <w:tc>
          <w:tcPr>
            <w:tcW w:w="0" w:type="auto"/>
          </w:tcPr>
          <w:p w:rsidR="00FC6B01" w:rsidRPr="009F6AF9" w:rsidRDefault="00FC6B01" w:rsidP="007176C9">
            <w:pPr>
              <w:spacing w:before="40" w:after="40"/>
              <w:ind w:left="180"/>
              <w:rPr>
                <w:sz w:val="16"/>
              </w:rPr>
            </w:pPr>
            <w:r w:rsidRPr="009F6AF9">
              <w:rPr>
                <w:sz w:val="16"/>
              </w:rPr>
              <w:t>Pain, application site</w:t>
            </w:r>
          </w:p>
        </w:tc>
        <w:tc>
          <w:tcPr>
            <w:tcW w:w="0" w:type="auto"/>
          </w:tcPr>
          <w:p w:rsidR="00FC6B01" w:rsidRPr="009F6AF9" w:rsidRDefault="00FC6B01" w:rsidP="007176C9">
            <w:pPr>
              <w:tabs>
                <w:tab w:val="decimal" w:pos="344"/>
              </w:tabs>
              <w:spacing w:before="40" w:after="40"/>
              <w:rPr>
                <w:sz w:val="16"/>
              </w:rPr>
            </w:pPr>
            <w:r w:rsidRPr="009F6AF9">
              <w:rPr>
                <w:sz w:val="16"/>
              </w:rPr>
              <w:t>15%</w:t>
            </w:r>
          </w:p>
        </w:tc>
        <w:tc>
          <w:tcPr>
            <w:tcW w:w="0" w:type="auto"/>
          </w:tcPr>
          <w:p w:rsidR="00FC6B01" w:rsidRPr="009F6AF9" w:rsidRDefault="00FC6B01" w:rsidP="007176C9">
            <w:pPr>
              <w:tabs>
                <w:tab w:val="decimal" w:pos="344"/>
              </w:tabs>
              <w:spacing w:before="40" w:after="40"/>
              <w:rPr>
                <w:sz w:val="16"/>
              </w:rPr>
            </w:pPr>
            <w:r w:rsidRPr="009F6AF9">
              <w:rPr>
                <w:sz w:val="16"/>
              </w:rPr>
              <w:t>0%</w:t>
            </w:r>
          </w:p>
        </w:tc>
      </w:tr>
      <w:tr w:rsidR="00FC6B01" w:rsidRPr="009F6AF9" w:rsidTr="007176C9">
        <w:tc>
          <w:tcPr>
            <w:tcW w:w="0" w:type="auto"/>
          </w:tcPr>
          <w:p w:rsidR="00FC6B01" w:rsidRPr="009F6AF9" w:rsidRDefault="00FC6B01" w:rsidP="007176C9">
            <w:pPr>
              <w:spacing w:before="40" w:after="40"/>
              <w:ind w:left="180"/>
              <w:rPr>
                <w:sz w:val="16"/>
              </w:rPr>
            </w:pPr>
            <w:r w:rsidRPr="009F6AF9">
              <w:rPr>
                <w:sz w:val="16"/>
              </w:rPr>
              <w:t>Pruritus, application site</w:t>
            </w:r>
          </w:p>
        </w:tc>
        <w:tc>
          <w:tcPr>
            <w:tcW w:w="0" w:type="auto"/>
          </w:tcPr>
          <w:p w:rsidR="00FC6B01" w:rsidRPr="009F6AF9" w:rsidRDefault="00FC6B01" w:rsidP="007176C9">
            <w:pPr>
              <w:tabs>
                <w:tab w:val="decimal" w:pos="344"/>
              </w:tabs>
              <w:spacing w:before="40" w:after="40"/>
              <w:rPr>
                <w:sz w:val="16"/>
              </w:rPr>
            </w:pPr>
            <w:r w:rsidRPr="009F6AF9">
              <w:rPr>
                <w:sz w:val="16"/>
              </w:rPr>
              <w:t>8%</w:t>
            </w:r>
          </w:p>
        </w:tc>
        <w:tc>
          <w:tcPr>
            <w:tcW w:w="0" w:type="auto"/>
          </w:tcPr>
          <w:p w:rsidR="00FC6B01" w:rsidRPr="009F6AF9" w:rsidRDefault="00FC6B01" w:rsidP="007176C9">
            <w:pPr>
              <w:tabs>
                <w:tab w:val="decimal" w:pos="344"/>
              </w:tabs>
              <w:spacing w:before="40" w:after="40"/>
              <w:rPr>
                <w:sz w:val="16"/>
              </w:rPr>
            </w:pPr>
            <w:r w:rsidRPr="009F6AF9">
              <w:rPr>
                <w:sz w:val="16"/>
              </w:rPr>
              <w:t>1%</w:t>
            </w:r>
          </w:p>
        </w:tc>
      </w:tr>
      <w:tr w:rsidR="00FC6B01" w:rsidRPr="009F6AF9" w:rsidTr="007176C9">
        <w:tc>
          <w:tcPr>
            <w:tcW w:w="0" w:type="auto"/>
          </w:tcPr>
          <w:p w:rsidR="00FC6B01" w:rsidRPr="009F6AF9" w:rsidRDefault="00FC6B01" w:rsidP="007176C9">
            <w:pPr>
              <w:spacing w:before="40" w:after="40"/>
              <w:ind w:left="180"/>
              <w:rPr>
                <w:sz w:val="16"/>
              </w:rPr>
            </w:pPr>
            <w:r w:rsidRPr="009F6AF9">
              <w:rPr>
                <w:sz w:val="16"/>
              </w:rPr>
              <w:t>Infection, application site</w:t>
            </w:r>
          </w:p>
        </w:tc>
        <w:tc>
          <w:tcPr>
            <w:tcW w:w="0" w:type="auto"/>
          </w:tcPr>
          <w:p w:rsidR="00FC6B01" w:rsidRPr="009F6AF9" w:rsidRDefault="00FC6B01" w:rsidP="007176C9">
            <w:pPr>
              <w:tabs>
                <w:tab w:val="decimal" w:pos="344"/>
              </w:tabs>
              <w:spacing w:before="40" w:after="40"/>
              <w:rPr>
                <w:sz w:val="16"/>
              </w:rPr>
            </w:pPr>
            <w:r w:rsidRPr="009F6AF9">
              <w:rPr>
                <w:sz w:val="16"/>
              </w:rPr>
              <w:t>3%</w:t>
            </w:r>
          </w:p>
        </w:tc>
        <w:tc>
          <w:tcPr>
            <w:tcW w:w="0" w:type="auto"/>
          </w:tcPr>
          <w:p w:rsidR="00FC6B01" w:rsidRPr="009F6AF9" w:rsidRDefault="00FC6B01" w:rsidP="007176C9">
            <w:pPr>
              <w:tabs>
                <w:tab w:val="decimal" w:pos="344"/>
              </w:tabs>
              <w:spacing w:before="40" w:after="40"/>
              <w:rPr>
                <w:sz w:val="16"/>
              </w:rPr>
            </w:pPr>
            <w:r w:rsidRPr="009F6AF9">
              <w:rPr>
                <w:sz w:val="16"/>
              </w:rPr>
              <w:t>0%</w:t>
            </w:r>
          </w:p>
        </w:tc>
      </w:tr>
      <w:tr w:rsidR="00FC6B01" w:rsidRPr="009F6AF9" w:rsidTr="007176C9">
        <w:tc>
          <w:tcPr>
            <w:tcW w:w="0" w:type="auto"/>
          </w:tcPr>
          <w:p w:rsidR="00FC6B01" w:rsidRPr="009F6AF9" w:rsidRDefault="00FC6B01" w:rsidP="007176C9">
            <w:pPr>
              <w:spacing w:before="40" w:after="40"/>
              <w:ind w:left="180"/>
              <w:rPr>
                <w:sz w:val="16"/>
              </w:rPr>
            </w:pPr>
            <w:proofErr w:type="spellStart"/>
            <w:r w:rsidRPr="009F6AF9">
              <w:rPr>
                <w:sz w:val="16"/>
              </w:rPr>
              <w:t>Periorbital</w:t>
            </w:r>
            <w:proofErr w:type="spellEnd"/>
            <w:r w:rsidRPr="009F6AF9">
              <w:rPr>
                <w:sz w:val="16"/>
              </w:rPr>
              <w:t xml:space="preserve"> edema</w:t>
            </w:r>
          </w:p>
        </w:tc>
        <w:tc>
          <w:tcPr>
            <w:tcW w:w="0" w:type="auto"/>
          </w:tcPr>
          <w:p w:rsidR="00FC6B01" w:rsidRPr="009F6AF9" w:rsidRDefault="00FC6B01" w:rsidP="007176C9">
            <w:pPr>
              <w:tabs>
                <w:tab w:val="decimal" w:pos="344"/>
              </w:tabs>
              <w:spacing w:before="40" w:after="40"/>
              <w:rPr>
                <w:sz w:val="16"/>
              </w:rPr>
            </w:pPr>
            <w:r w:rsidRPr="009F6AF9">
              <w:rPr>
                <w:sz w:val="16"/>
              </w:rPr>
              <w:t>3%</w:t>
            </w:r>
          </w:p>
        </w:tc>
        <w:tc>
          <w:tcPr>
            <w:tcW w:w="0" w:type="auto"/>
          </w:tcPr>
          <w:p w:rsidR="00FC6B01" w:rsidRPr="009F6AF9" w:rsidRDefault="00FC6B01" w:rsidP="007176C9">
            <w:pPr>
              <w:tabs>
                <w:tab w:val="decimal" w:pos="344"/>
              </w:tabs>
              <w:spacing w:before="40" w:after="40"/>
              <w:rPr>
                <w:sz w:val="16"/>
              </w:rPr>
            </w:pPr>
            <w:r w:rsidRPr="009F6AF9">
              <w:rPr>
                <w:sz w:val="16"/>
              </w:rPr>
              <w:t>0%</w:t>
            </w:r>
          </w:p>
        </w:tc>
      </w:tr>
      <w:tr w:rsidR="00FC6B01" w:rsidRPr="009F6AF9" w:rsidTr="007176C9">
        <w:tc>
          <w:tcPr>
            <w:tcW w:w="0" w:type="auto"/>
          </w:tcPr>
          <w:p w:rsidR="00FC6B01" w:rsidRPr="009F6AF9" w:rsidRDefault="00FC6B01" w:rsidP="007176C9">
            <w:pPr>
              <w:spacing w:before="40" w:after="40"/>
              <w:ind w:left="180"/>
              <w:rPr>
                <w:sz w:val="16"/>
              </w:rPr>
            </w:pPr>
            <w:r w:rsidRPr="009F6AF9">
              <w:rPr>
                <w:sz w:val="16"/>
              </w:rPr>
              <w:t>Headache</w:t>
            </w:r>
          </w:p>
        </w:tc>
        <w:tc>
          <w:tcPr>
            <w:tcW w:w="0" w:type="auto"/>
          </w:tcPr>
          <w:p w:rsidR="00FC6B01" w:rsidRPr="009F6AF9" w:rsidRDefault="00FC6B01" w:rsidP="007176C9">
            <w:pPr>
              <w:tabs>
                <w:tab w:val="decimal" w:pos="344"/>
              </w:tabs>
              <w:spacing w:before="40" w:after="40"/>
              <w:rPr>
                <w:sz w:val="16"/>
              </w:rPr>
            </w:pPr>
            <w:r w:rsidRPr="009F6AF9">
              <w:rPr>
                <w:sz w:val="16"/>
              </w:rPr>
              <w:t>2%</w:t>
            </w:r>
          </w:p>
        </w:tc>
        <w:tc>
          <w:tcPr>
            <w:tcW w:w="0" w:type="auto"/>
          </w:tcPr>
          <w:p w:rsidR="00FC6B01" w:rsidRPr="009F6AF9" w:rsidRDefault="00FC6B01" w:rsidP="007176C9">
            <w:pPr>
              <w:tabs>
                <w:tab w:val="decimal" w:pos="344"/>
              </w:tabs>
              <w:spacing w:before="40" w:after="40"/>
              <w:rPr>
                <w:sz w:val="16"/>
              </w:rPr>
            </w:pPr>
            <w:r w:rsidRPr="009F6AF9">
              <w:rPr>
                <w:sz w:val="16"/>
              </w:rPr>
              <w:t>1%</w:t>
            </w:r>
          </w:p>
        </w:tc>
      </w:tr>
      <w:tr w:rsidR="00FC6B01" w:rsidRPr="009F6AF9" w:rsidTr="007176C9">
        <w:tc>
          <w:tcPr>
            <w:tcW w:w="0" w:type="auto"/>
            <w:shd w:val="clear" w:color="auto" w:fill="D9D9D9"/>
          </w:tcPr>
          <w:p w:rsidR="00FC6B01" w:rsidRPr="009F6AF9" w:rsidRDefault="00FC6B01" w:rsidP="007176C9">
            <w:pPr>
              <w:spacing w:before="40" w:after="40"/>
              <w:rPr>
                <w:sz w:val="16"/>
              </w:rPr>
            </w:pPr>
            <w:r w:rsidRPr="009F6AF9">
              <w:rPr>
                <w:sz w:val="16"/>
              </w:rPr>
              <w:t>Trunk and Extremities</w:t>
            </w:r>
          </w:p>
        </w:tc>
        <w:tc>
          <w:tcPr>
            <w:tcW w:w="0" w:type="auto"/>
            <w:shd w:val="clear" w:color="auto" w:fill="D9D9D9"/>
          </w:tcPr>
          <w:p w:rsidR="00FC6B01" w:rsidRPr="009F6AF9" w:rsidRDefault="00FC6B01" w:rsidP="007176C9">
            <w:pPr>
              <w:tabs>
                <w:tab w:val="decimal" w:pos="344"/>
              </w:tabs>
              <w:spacing w:before="40" w:after="40"/>
              <w:rPr>
                <w:sz w:val="16"/>
              </w:rPr>
            </w:pPr>
            <w:r w:rsidRPr="009F6AF9">
              <w:rPr>
                <w:sz w:val="16"/>
              </w:rPr>
              <w:t>N=225</w:t>
            </w:r>
          </w:p>
        </w:tc>
        <w:tc>
          <w:tcPr>
            <w:tcW w:w="0" w:type="auto"/>
            <w:shd w:val="clear" w:color="auto" w:fill="D9D9D9"/>
          </w:tcPr>
          <w:p w:rsidR="00FC6B01" w:rsidRPr="009F6AF9" w:rsidRDefault="00FC6B01" w:rsidP="007176C9">
            <w:pPr>
              <w:tabs>
                <w:tab w:val="decimal" w:pos="344"/>
              </w:tabs>
              <w:spacing w:before="40" w:after="40"/>
              <w:rPr>
                <w:sz w:val="16"/>
              </w:rPr>
            </w:pPr>
            <w:r w:rsidRPr="009F6AF9">
              <w:rPr>
                <w:sz w:val="16"/>
              </w:rPr>
              <w:t>N=232</w:t>
            </w:r>
          </w:p>
        </w:tc>
      </w:tr>
      <w:tr w:rsidR="00FC6B01" w:rsidRPr="009F6AF9" w:rsidTr="007176C9">
        <w:tc>
          <w:tcPr>
            <w:tcW w:w="0" w:type="auto"/>
          </w:tcPr>
          <w:p w:rsidR="00FC6B01" w:rsidRPr="009F6AF9" w:rsidRDefault="00FC6B01" w:rsidP="007176C9">
            <w:pPr>
              <w:spacing w:before="40" w:after="40"/>
              <w:ind w:left="180"/>
              <w:rPr>
                <w:sz w:val="16"/>
              </w:rPr>
            </w:pPr>
            <w:r w:rsidRPr="009F6AF9">
              <w:rPr>
                <w:sz w:val="16"/>
              </w:rPr>
              <w:t>Pruritus, application site</w:t>
            </w:r>
          </w:p>
        </w:tc>
        <w:tc>
          <w:tcPr>
            <w:tcW w:w="0" w:type="auto"/>
          </w:tcPr>
          <w:p w:rsidR="00FC6B01" w:rsidRPr="009F6AF9" w:rsidRDefault="00FC6B01" w:rsidP="007176C9">
            <w:pPr>
              <w:tabs>
                <w:tab w:val="decimal" w:pos="344"/>
              </w:tabs>
              <w:spacing w:before="40" w:after="40"/>
              <w:rPr>
                <w:sz w:val="16"/>
              </w:rPr>
            </w:pPr>
            <w:r w:rsidRPr="009F6AF9">
              <w:rPr>
                <w:sz w:val="16"/>
              </w:rPr>
              <w:t>8%</w:t>
            </w:r>
          </w:p>
        </w:tc>
        <w:tc>
          <w:tcPr>
            <w:tcW w:w="0" w:type="auto"/>
          </w:tcPr>
          <w:p w:rsidR="00FC6B01" w:rsidRPr="009F6AF9" w:rsidRDefault="00FC6B01" w:rsidP="007176C9">
            <w:pPr>
              <w:tabs>
                <w:tab w:val="decimal" w:pos="344"/>
              </w:tabs>
              <w:spacing w:before="40" w:after="40"/>
              <w:rPr>
                <w:sz w:val="16"/>
              </w:rPr>
            </w:pPr>
            <w:r w:rsidRPr="009F6AF9">
              <w:rPr>
                <w:sz w:val="16"/>
              </w:rPr>
              <w:t>0%</w:t>
            </w:r>
          </w:p>
        </w:tc>
      </w:tr>
      <w:tr w:rsidR="00FC6B01" w:rsidRPr="009F6AF9" w:rsidTr="007176C9">
        <w:tc>
          <w:tcPr>
            <w:tcW w:w="0" w:type="auto"/>
          </w:tcPr>
          <w:p w:rsidR="00FC6B01" w:rsidRPr="009F6AF9" w:rsidRDefault="00FC6B01" w:rsidP="007176C9">
            <w:pPr>
              <w:spacing w:before="40" w:after="40"/>
              <w:ind w:left="180"/>
              <w:rPr>
                <w:sz w:val="16"/>
              </w:rPr>
            </w:pPr>
            <w:r w:rsidRPr="009F6AF9">
              <w:rPr>
                <w:sz w:val="16"/>
              </w:rPr>
              <w:t>Irritation, application site</w:t>
            </w:r>
          </w:p>
        </w:tc>
        <w:tc>
          <w:tcPr>
            <w:tcW w:w="0" w:type="auto"/>
          </w:tcPr>
          <w:p w:rsidR="00FC6B01" w:rsidRPr="009F6AF9" w:rsidRDefault="00FC6B01" w:rsidP="007176C9">
            <w:pPr>
              <w:tabs>
                <w:tab w:val="decimal" w:pos="344"/>
              </w:tabs>
              <w:spacing w:before="40" w:after="40"/>
              <w:rPr>
                <w:sz w:val="16"/>
              </w:rPr>
            </w:pPr>
            <w:r w:rsidRPr="009F6AF9">
              <w:rPr>
                <w:sz w:val="16"/>
              </w:rPr>
              <w:t>4%</w:t>
            </w:r>
          </w:p>
        </w:tc>
        <w:tc>
          <w:tcPr>
            <w:tcW w:w="0" w:type="auto"/>
          </w:tcPr>
          <w:p w:rsidR="00FC6B01" w:rsidRPr="009F6AF9" w:rsidRDefault="00FC6B01" w:rsidP="007176C9">
            <w:pPr>
              <w:tabs>
                <w:tab w:val="decimal" w:pos="344"/>
              </w:tabs>
              <w:spacing w:before="40" w:after="40"/>
              <w:rPr>
                <w:sz w:val="16"/>
              </w:rPr>
            </w:pPr>
            <w:r w:rsidRPr="009F6AF9">
              <w:rPr>
                <w:sz w:val="16"/>
              </w:rPr>
              <w:t>0%</w:t>
            </w:r>
          </w:p>
        </w:tc>
      </w:tr>
      <w:tr w:rsidR="00FC6B01" w:rsidRPr="009F6AF9" w:rsidTr="007176C9">
        <w:tc>
          <w:tcPr>
            <w:tcW w:w="0" w:type="auto"/>
            <w:tcBorders>
              <w:bottom w:val="nil"/>
            </w:tcBorders>
          </w:tcPr>
          <w:p w:rsidR="00FC6B01" w:rsidRPr="009F6AF9" w:rsidRDefault="00FC6B01" w:rsidP="007176C9">
            <w:pPr>
              <w:spacing w:before="40" w:after="40"/>
              <w:ind w:left="180"/>
              <w:rPr>
                <w:sz w:val="16"/>
              </w:rPr>
            </w:pPr>
            <w:proofErr w:type="spellStart"/>
            <w:r w:rsidRPr="009F6AF9">
              <w:rPr>
                <w:sz w:val="16"/>
              </w:rPr>
              <w:t>Nasopharyngitis</w:t>
            </w:r>
            <w:proofErr w:type="spellEnd"/>
          </w:p>
        </w:tc>
        <w:tc>
          <w:tcPr>
            <w:tcW w:w="0" w:type="auto"/>
            <w:tcBorders>
              <w:bottom w:val="nil"/>
            </w:tcBorders>
          </w:tcPr>
          <w:p w:rsidR="00FC6B01" w:rsidRPr="009F6AF9" w:rsidRDefault="00FC6B01" w:rsidP="007176C9">
            <w:pPr>
              <w:tabs>
                <w:tab w:val="decimal" w:pos="344"/>
              </w:tabs>
              <w:spacing w:before="40" w:after="40"/>
              <w:rPr>
                <w:sz w:val="16"/>
              </w:rPr>
            </w:pPr>
            <w:r w:rsidRPr="009F6AF9">
              <w:rPr>
                <w:sz w:val="16"/>
              </w:rPr>
              <w:t>2%</w:t>
            </w:r>
          </w:p>
        </w:tc>
        <w:tc>
          <w:tcPr>
            <w:tcW w:w="0" w:type="auto"/>
            <w:tcBorders>
              <w:bottom w:val="nil"/>
            </w:tcBorders>
          </w:tcPr>
          <w:p w:rsidR="00FC6B01" w:rsidRPr="009F6AF9" w:rsidRDefault="00FC6B01" w:rsidP="007176C9">
            <w:pPr>
              <w:tabs>
                <w:tab w:val="decimal" w:pos="344"/>
              </w:tabs>
              <w:spacing w:before="40" w:after="40"/>
              <w:rPr>
                <w:sz w:val="16"/>
              </w:rPr>
            </w:pPr>
            <w:r w:rsidRPr="009F6AF9">
              <w:rPr>
                <w:sz w:val="16"/>
              </w:rPr>
              <w:t>1%</w:t>
            </w:r>
          </w:p>
        </w:tc>
      </w:tr>
      <w:tr w:rsidR="00FC6B01" w:rsidRPr="009F6AF9" w:rsidTr="007176C9">
        <w:tc>
          <w:tcPr>
            <w:tcW w:w="0" w:type="auto"/>
            <w:tcBorders>
              <w:bottom w:val="single" w:sz="4" w:space="0" w:color="auto"/>
            </w:tcBorders>
          </w:tcPr>
          <w:p w:rsidR="00FC6B01" w:rsidRPr="009F6AF9" w:rsidRDefault="00FC6B01" w:rsidP="007176C9">
            <w:pPr>
              <w:spacing w:before="40" w:after="40"/>
              <w:ind w:left="180"/>
              <w:rPr>
                <w:sz w:val="16"/>
              </w:rPr>
            </w:pPr>
            <w:r w:rsidRPr="009F6AF9">
              <w:rPr>
                <w:sz w:val="16"/>
              </w:rPr>
              <w:t>Pain, application site</w:t>
            </w:r>
          </w:p>
        </w:tc>
        <w:tc>
          <w:tcPr>
            <w:tcW w:w="0" w:type="auto"/>
            <w:tcBorders>
              <w:bottom w:val="single" w:sz="4" w:space="0" w:color="auto"/>
            </w:tcBorders>
          </w:tcPr>
          <w:p w:rsidR="00FC6B01" w:rsidRPr="009F6AF9" w:rsidRDefault="00FC6B01" w:rsidP="007176C9">
            <w:pPr>
              <w:tabs>
                <w:tab w:val="decimal" w:pos="344"/>
              </w:tabs>
              <w:spacing w:before="40" w:after="40"/>
              <w:rPr>
                <w:sz w:val="16"/>
              </w:rPr>
            </w:pPr>
            <w:r w:rsidRPr="009F6AF9">
              <w:rPr>
                <w:sz w:val="16"/>
              </w:rPr>
              <w:t>2%</w:t>
            </w:r>
          </w:p>
        </w:tc>
        <w:tc>
          <w:tcPr>
            <w:tcW w:w="0" w:type="auto"/>
            <w:tcBorders>
              <w:bottom w:val="single" w:sz="4" w:space="0" w:color="auto"/>
            </w:tcBorders>
          </w:tcPr>
          <w:p w:rsidR="00FC6B01" w:rsidRPr="009F6AF9" w:rsidRDefault="00FC6B01" w:rsidP="007176C9">
            <w:pPr>
              <w:tabs>
                <w:tab w:val="decimal" w:pos="344"/>
              </w:tabs>
              <w:spacing w:before="40" w:after="40"/>
              <w:rPr>
                <w:sz w:val="16"/>
              </w:rPr>
            </w:pPr>
            <w:r w:rsidRPr="009F6AF9">
              <w:rPr>
                <w:sz w:val="16"/>
              </w:rPr>
              <w:t>0%</w:t>
            </w:r>
          </w:p>
        </w:tc>
      </w:tr>
      <w:tr w:rsidR="007176C9" w:rsidRPr="009F6AF9" w:rsidTr="007176C9">
        <w:tc>
          <w:tcPr>
            <w:tcW w:w="0" w:type="auto"/>
            <w:gridSpan w:val="3"/>
            <w:tcBorders>
              <w:top w:val="single" w:sz="4" w:space="0" w:color="auto"/>
              <w:bottom w:val="nil"/>
            </w:tcBorders>
          </w:tcPr>
          <w:p w:rsidR="007176C9" w:rsidRPr="009F6AF9" w:rsidRDefault="007176C9" w:rsidP="007176C9">
            <w:pPr>
              <w:tabs>
                <w:tab w:val="decimal" w:pos="344"/>
              </w:tabs>
              <w:spacing w:before="40" w:after="40"/>
              <w:rPr>
                <w:sz w:val="16"/>
              </w:rPr>
            </w:pPr>
          </w:p>
        </w:tc>
      </w:tr>
    </w:tbl>
    <w:p w:rsidR="00991E4D" w:rsidRDefault="00991E4D">
      <w:r>
        <w:t>According to the Cochrane review by Gupta (2012)</w:t>
      </w:r>
      <w:proofErr w:type="gramStart"/>
      <w:r>
        <w:t>,</w:t>
      </w:r>
      <w:proofErr w:type="gramEnd"/>
      <w:r w:rsidRPr="00991E4D">
        <w:rPr>
          <w:vertAlign w:val="superscript"/>
        </w:rPr>
        <w:fldChar w:fldCharType="begin"/>
      </w:r>
      <w:r w:rsidRPr="00991E4D">
        <w:rPr>
          <w:vertAlign w:val="superscript"/>
        </w:rPr>
        <w:instrText xml:space="preserve"> NOTEREF _Ref374352949 \h </w:instrText>
      </w:r>
      <w:r>
        <w:rPr>
          <w:vertAlign w:val="superscript"/>
        </w:rPr>
        <w:instrText xml:space="preserve"> \* MERGEFORMAT </w:instrText>
      </w:r>
      <w:r w:rsidRPr="00991E4D">
        <w:rPr>
          <w:vertAlign w:val="superscript"/>
        </w:rPr>
      </w:r>
      <w:r w:rsidRPr="00991E4D">
        <w:rPr>
          <w:vertAlign w:val="superscript"/>
        </w:rPr>
        <w:fldChar w:fldCharType="separate"/>
      </w:r>
      <w:r w:rsidR="00D93D73">
        <w:rPr>
          <w:vertAlign w:val="superscript"/>
        </w:rPr>
        <w:t>19</w:t>
      </w:r>
      <w:r w:rsidRPr="00991E4D">
        <w:rPr>
          <w:vertAlign w:val="superscript"/>
        </w:rPr>
        <w:fldChar w:fldCharType="end"/>
      </w:r>
      <w:r>
        <w:t xml:space="preserve"> data on skin irritation per se was not available from the three studies</w:t>
      </w:r>
      <w:r w:rsidRPr="00991E4D">
        <w:rPr>
          <w:vertAlign w:val="superscript"/>
        </w:rPr>
        <w:fldChar w:fldCharType="begin"/>
      </w:r>
      <w:r w:rsidRPr="00991E4D">
        <w:rPr>
          <w:vertAlign w:val="superscript"/>
        </w:rPr>
        <w:instrText xml:space="preserve"> NOTEREF _Ref374352810 \h </w:instrText>
      </w:r>
      <w:r>
        <w:rPr>
          <w:vertAlign w:val="superscript"/>
        </w:rPr>
        <w:instrText xml:space="preserve"> \* MERGEFORMAT </w:instrText>
      </w:r>
      <w:r w:rsidRPr="00991E4D">
        <w:rPr>
          <w:vertAlign w:val="superscript"/>
        </w:rPr>
      </w:r>
      <w:r w:rsidRPr="00991E4D">
        <w:rPr>
          <w:vertAlign w:val="superscript"/>
        </w:rPr>
        <w:fldChar w:fldCharType="separate"/>
      </w:r>
      <w:r w:rsidR="00D93D73">
        <w:rPr>
          <w:vertAlign w:val="superscript"/>
        </w:rPr>
        <w:t>20</w:t>
      </w:r>
      <w:r w:rsidRPr="00991E4D">
        <w:rPr>
          <w:vertAlign w:val="superscript"/>
        </w:rPr>
        <w:fldChar w:fldCharType="end"/>
      </w:r>
      <w:r w:rsidRPr="00991E4D">
        <w:rPr>
          <w:vertAlign w:val="superscript"/>
        </w:rPr>
        <w:t>,</w:t>
      </w:r>
      <w:r w:rsidRPr="00991E4D">
        <w:rPr>
          <w:vertAlign w:val="superscript"/>
        </w:rPr>
        <w:fldChar w:fldCharType="begin"/>
      </w:r>
      <w:r w:rsidRPr="00991E4D">
        <w:rPr>
          <w:vertAlign w:val="superscript"/>
        </w:rPr>
        <w:instrText xml:space="preserve"> NOTEREF _Ref374352916 \h </w:instrText>
      </w:r>
      <w:r>
        <w:rPr>
          <w:vertAlign w:val="superscript"/>
        </w:rPr>
        <w:instrText xml:space="preserve"> \* MERGEFORMAT </w:instrText>
      </w:r>
      <w:r w:rsidRPr="00991E4D">
        <w:rPr>
          <w:vertAlign w:val="superscript"/>
        </w:rPr>
      </w:r>
      <w:r w:rsidRPr="00991E4D">
        <w:rPr>
          <w:vertAlign w:val="superscript"/>
        </w:rPr>
        <w:fldChar w:fldCharType="separate"/>
      </w:r>
      <w:r w:rsidR="00D93D73">
        <w:rPr>
          <w:vertAlign w:val="superscript"/>
        </w:rPr>
        <w:t>21</w:t>
      </w:r>
      <w:r w:rsidRPr="00991E4D">
        <w:rPr>
          <w:vertAlign w:val="superscript"/>
        </w:rPr>
        <w:fldChar w:fldCharType="end"/>
      </w:r>
      <w:r w:rsidRPr="00991E4D">
        <w:rPr>
          <w:vertAlign w:val="superscript"/>
        </w:rPr>
        <w:t>,</w:t>
      </w:r>
      <w:r w:rsidRPr="00991E4D">
        <w:rPr>
          <w:vertAlign w:val="superscript"/>
        </w:rPr>
        <w:fldChar w:fldCharType="begin"/>
      </w:r>
      <w:r w:rsidRPr="00991E4D">
        <w:rPr>
          <w:vertAlign w:val="superscript"/>
        </w:rPr>
        <w:instrText xml:space="preserve"> NOTEREF _Ref374352813 \h </w:instrText>
      </w:r>
      <w:r>
        <w:rPr>
          <w:vertAlign w:val="superscript"/>
        </w:rPr>
        <w:instrText xml:space="preserve"> \* MERGEFORMAT </w:instrText>
      </w:r>
      <w:r w:rsidRPr="00991E4D">
        <w:rPr>
          <w:vertAlign w:val="superscript"/>
        </w:rPr>
      </w:r>
      <w:r w:rsidRPr="00991E4D">
        <w:rPr>
          <w:vertAlign w:val="superscript"/>
        </w:rPr>
        <w:fldChar w:fldCharType="separate"/>
      </w:r>
      <w:r w:rsidR="00D93D73">
        <w:rPr>
          <w:vertAlign w:val="superscript"/>
        </w:rPr>
        <w:t>22</w:t>
      </w:r>
      <w:r w:rsidRPr="00991E4D">
        <w:rPr>
          <w:vertAlign w:val="superscript"/>
        </w:rPr>
        <w:fldChar w:fldCharType="end"/>
      </w:r>
      <w:r>
        <w:t xml:space="preserve"> included in the review.</w:t>
      </w:r>
    </w:p>
    <w:p w:rsidR="00315FB2" w:rsidRDefault="00315FB2">
      <w:r w:rsidRPr="00315FB2">
        <w:t xml:space="preserve">Like the other topical treatments for AK, application site reactions are substantial; in particular, erythema with </w:t>
      </w:r>
      <w:proofErr w:type="spellStart"/>
      <w:r w:rsidRPr="00315FB2">
        <w:t>ingenol</w:t>
      </w:r>
      <w:proofErr w:type="spellEnd"/>
      <w:r w:rsidRPr="00315FB2">
        <w:t xml:space="preserve"> </w:t>
      </w:r>
      <w:proofErr w:type="spellStart"/>
      <w:r w:rsidRPr="00315FB2">
        <w:t>mebutate</w:t>
      </w:r>
      <w:proofErr w:type="spellEnd"/>
      <w:r w:rsidRPr="00315FB2">
        <w:t xml:space="preserve"> may often be severe (Grade 4 in 24% of patients). </w:t>
      </w:r>
      <w:r w:rsidR="00C833ED">
        <w:t>The local reactions generally resolve</w:t>
      </w:r>
      <w:r w:rsidR="009F6AF9">
        <w:t>d</w:t>
      </w:r>
      <w:r w:rsidR="00C833ED">
        <w:t xml:space="preserve"> spontaneously in 2 to 4 weeks. </w:t>
      </w:r>
      <w:proofErr w:type="spellStart"/>
      <w:r w:rsidRPr="00315FB2">
        <w:t>Ingenol</w:t>
      </w:r>
      <w:proofErr w:type="spellEnd"/>
      <w:r w:rsidRPr="00315FB2">
        <w:t xml:space="preserve"> </w:t>
      </w:r>
      <w:proofErr w:type="spellStart"/>
      <w:r w:rsidRPr="00315FB2">
        <w:t>mebutate</w:t>
      </w:r>
      <w:proofErr w:type="spellEnd"/>
      <w:r w:rsidRPr="00315FB2">
        <w:t xml:space="preserve"> has been associated with headache and </w:t>
      </w:r>
      <w:proofErr w:type="spellStart"/>
      <w:r w:rsidRPr="00315FB2">
        <w:t>nasopharyngitis</w:t>
      </w:r>
      <w:proofErr w:type="spellEnd"/>
      <w:r w:rsidRPr="00315FB2">
        <w:t xml:space="preserve"> but seems to lack the systemic flu-like symptoms seen with </w:t>
      </w:r>
      <w:proofErr w:type="spellStart"/>
      <w:r w:rsidRPr="00315FB2">
        <w:t>imiquimod</w:t>
      </w:r>
      <w:proofErr w:type="spellEnd"/>
      <w:r w:rsidRPr="00315FB2">
        <w:t xml:space="preserve"> and the scarring that is possible with 5FU. </w:t>
      </w:r>
    </w:p>
    <w:p w:rsidR="00FD0F9F" w:rsidRDefault="00FD0F9F" w:rsidP="00991E4D">
      <w:pPr>
        <w:pStyle w:val="Heading2"/>
      </w:pPr>
      <w:r>
        <w:t xml:space="preserve">Most Common </w:t>
      </w:r>
      <w:r w:rsidR="001F685E">
        <w:t>Local Skin Reactions with Alternative Topical Drug Therapies</w:t>
      </w:r>
    </w:p>
    <w:p w:rsidR="005D2D3A" w:rsidRPr="005D2D3A" w:rsidRDefault="00315FB2" w:rsidP="005D2D3A">
      <w:r w:rsidRPr="00315FB2">
        <w:t>Patients may be able to distinguish and may prefer one agent over the others because of potential differences in the nature and quality of the application site reactions among the topical agents.</w:t>
      </w:r>
      <w:r>
        <w:t xml:space="preserve"> </w:t>
      </w:r>
      <w:r w:rsidR="005D2D3A" w:rsidRPr="00FD0F9F">
        <w:t xml:space="preserve">The most frequent </w:t>
      </w:r>
      <w:r w:rsidR="005D2D3A">
        <w:t>local skin</w:t>
      </w:r>
      <w:r w:rsidR="005D2D3A" w:rsidRPr="00FD0F9F">
        <w:t xml:space="preserve"> reactions </w:t>
      </w:r>
      <w:r w:rsidR="005D2D3A">
        <w:t>for each of the</w:t>
      </w:r>
      <w:r>
        <w:t xml:space="preserve"> other</w:t>
      </w:r>
      <w:r w:rsidR="005D2D3A">
        <w:t xml:space="preserve"> topical agents are as follows:</w:t>
      </w:r>
    </w:p>
    <w:p w:rsidR="00FD0F9F" w:rsidRDefault="00FD0F9F" w:rsidP="00FD0F9F">
      <w:r w:rsidRPr="0065730F">
        <w:rPr>
          <w:b/>
        </w:rPr>
        <w:t>Diclofenac</w:t>
      </w:r>
      <w:r w:rsidR="0065730F" w:rsidRPr="0065730F">
        <w:rPr>
          <w:b/>
        </w:rPr>
        <w:t xml:space="preserve"> Gel</w:t>
      </w:r>
      <w:r>
        <w:t xml:space="preserve">:  </w:t>
      </w:r>
      <w:r w:rsidR="006021ED" w:rsidRPr="00FD0F9F">
        <w:t>D</w:t>
      </w:r>
      <w:r w:rsidRPr="00FD0F9F">
        <w:t xml:space="preserve">ry skin (32%), contact dermatitis </w:t>
      </w:r>
      <w:r w:rsidR="006021ED">
        <w:t xml:space="preserve">with </w:t>
      </w:r>
      <w:r w:rsidRPr="00FD0F9F">
        <w:t xml:space="preserve">erythema </w:t>
      </w:r>
      <w:r w:rsidR="006021ED">
        <w:t xml:space="preserve">/ </w:t>
      </w:r>
      <w:r w:rsidRPr="00FD0F9F">
        <w:t>induration (9%), pruritus (4%), and contact dermatitis with vesicles (2%).</w:t>
      </w:r>
    </w:p>
    <w:p w:rsidR="0065730F" w:rsidRDefault="0065730F" w:rsidP="00FD0F9F">
      <w:r w:rsidRPr="0065730F">
        <w:rPr>
          <w:b/>
        </w:rPr>
        <w:t>5FU 0.5% Cream</w:t>
      </w:r>
      <w:r>
        <w:t xml:space="preserve"> (vs. vehicle):  Erythema (93.4% vs. 59.8%), dryness (83.3% vs. 47.2%), burning (74.7% vs. 22%), erosion (44% vs. 13.4%), pain (43.6% vs. 5.5%), </w:t>
      </w:r>
      <w:proofErr w:type="gramStart"/>
      <w:r>
        <w:t>edema</w:t>
      </w:r>
      <w:proofErr w:type="gramEnd"/>
      <w:r>
        <w:t xml:space="preserve"> (35.4% vs. 4.7%).</w:t>
      </w:r>
    </w:p>
    <w:p w:rsidR="0065730F" w:rsidRDefault="0065730F" w:rsidP="00FD0F9F">
      <w:r w:rsidRPr="0065730F">
        <w:rPr>
          <w:b/>
          <w:bCs/>
          <w:iCs/>
        </w:rPr>
        <w:t xml:space="preserve">5FU 1% </w:t>
      </w:r>
      <w:r>
        <w:rPr>
          <w:b/>
          <w:bCs/>
          <w:iCs/>
        </w:rPr>
        <w:t>C</w:t>
      </w:r>
      <w:r w:rsidRPr="0065730F">
        <w:rPr>
          <w:b/>
          <w:bCs/>
          <w:iCs/>
        </w:rPr>
        <w:t>ream:</w:t>
      </w:r>
      <w:r w:rsidRPr="0065730F">
        <w:rPr>
          <w:b/>
          <w:bCs/>
          <w:i/>
          <w:iCs/>
        </w:rPr>
        <w:t xml:space="preserve"> </w:t>
      </w:r>
      <w:r w:rsidRPr="0065730F">
        <w:t>Allergic contact dermatitis, burning, inflammation, irritation, pain, pruritus, and telangiectasia have been reported. Occasionally, hyperpigmentation and scarring have also been reported.</w:t>
      </w:r>
      <w:r>
        <w:t xml:space="preserve"> No incidence rates were available.</w:t>
      </w:r>
    </w:p>
    <w:p w:rsidR="0065730F" w:rsidRDefault="0065730F" w:rsidP="00FD0F9F">
      <w:pPr>
        <w:rPr>
          <w:bCs/>
        </w:rPr>
      </w:pPr>
      <w:r>
        <w:rPr>
          <w:b/>
          <w:bCs/>
        </w:rPr>
        <w:t xml:space="preserve">5FU </w:t>
      </w:r>
      <w:r w:rsidRPr="0065730F">
        <w:rPr>
          <w:b/>
          <w:bCs/>
        </w:rPr>
        <w:t xml:space="preserve">5% </w:t>
      </w:r>
      <w:r>
        <w:rPr>
          <w:b/>
          <w:bCs/>
        </w:rPr>
        <w:t>C</w:t>
      </w:r>
      <w:r w:rsidRPr="0065730F">
        <w:rPr>
          <w:b/>
          <w:bCs/>
        </w:rPr>
        <w:t xml:space="preserve">ream and 2% and 5% </w:t>
      </w:r>
      <w:r>
        <w:rPr>
          <w:b/>
          <w:bCs/>
        </w:rPr>
        <w:t>S</w:t>
      </w:r>
      <w:r w:rsidRPr="0065730F">
        <w:rPr>
          <w:b/>
          <w:bCs/>
        </w:rPr>
        <w:t>olutions:</w:t>
      </w:r>
      <w:r>
        <w:rPr>
          <w:b/>
          <w:bCs/>
        </w:rPr>
        <w:t xml:space="preserve">  </w:t>
      </w:r>
      <w:r w:rsidRPr="0065730F">
        <w:rPr>
          <w:bCs/>
        </w:rPr>
        <w:t>Allergic contact dermatitis, burning, crusting, erosions, erythema, hyperpigmentation, irritation, pain, photosensitivity, pruritus, rash, scarring, soreness, and ulceration.</w:t>
      </w:r>
      <w:r w:rsidR="001F685E">
        <w:rPr>
          <w:bCs/>
        </w:rPr>
        <w:t xml:space="preserve"> No incidence rates were available.</w:t>
      </w:r>
    </w:p>
    <w:p w:rsidR="0065730F" w:rsidRPr="0065730F" w:rsidRDefault="0065730F" w:rsidP="00FD0F9F">
      <w:proofErr w:type="spellStart"/>
      <w:r w:rsidRPr="001F685E">
        <w:rPr>
          <w:b/>
          <w:bCs/>
        </w:rPr>
        <w:t>Imiquimod</w:t>
      </w:r>
      <w:proofErr w:type="spellEnd"/>
      <w:r w:rsidRPr="001F685E">
        <w:rPr>
          <w:b/>
          <w:bCs/>
        </w:rPr>
        <w:t xml:space="preserve"> 2.5% and 3.75% Cream</w:t>
      </w:r>
      <w:r>
        <w:rPr>
          <w:bCs/>
        </w:rPr>
        <w:t xml:space="preserve"> (vs. </w:t>
      </w:r>
      <w:r w:rsidR="006021ED">
        <w:rPr>
          <w:bCs/>
        </w:rPr>
        <w:t>v</w:t>
      </w:r>
      <w:r>
        <w:rPr>
          <w:bCs/>
        </w:rPr>
        <w:t>ehicle):  Erythema (96%</w:t>
      </w:r>
      <w:r w:rsidR="001F685E">
        <w:rPr>
          <w:bCs/>
        </w:rPr>
        <w:t xml:space="preserve"> </w:t>
      </w:r>
      <w:r w:rsidR="001F685E" w:rsidRPr="001F685E">
        <w:rPr>
          <w:bCs/>
        </w:rPr>
        <w:t xml:space="preserve">and </w:t>
      </w:r>
      <w:r>
        <w:rPr>
          <w:bCs/>
        </w:rPr>
        <w:t>96% vs. 78%), flaking/scaling/dryness (88%</w:t>
      </w:r>
      <w:r w:rsidR="001F685E">
        <w:rPr>
          <w:bCs/>
        </w:rPr>
        <w:t xml:space="preserve"> </w:t>
      </w:r>
      <w:r w:rsidR="001F685E" w:rsidRPr="001F685E">
        <w:rPr>
          <w:bCs/>
        </w:rPr>
        <w:t xml:space="preserve">and </w:t>
      </w:r>
      <w:r>
        <w:rPr>
          <w:bCs/>
        </w:rPr>
        <w:t>91% vs. 77%), scabbing/crusting (84%</w:t>
      </w:r>
      <w:r w:rsidR="001F685E">
        <w:rPr>
          <w:bCs/>
        </w:rPr>
        <w:t xml:space="preserve"> </w:t>
      </w:r>
      <w:r w:rsidR="001F685E" w:rsidRPr="001F685E">
        <w:rPr>
          <w:bCs/>
        </w:rPr>
        <w:t xml:space="preserve">and </w:t>
      </w:r>
      <w:r>
        <w:rPr>
          <w:bCs/>
        </w:rPr>
        <w:t>93% vs. 45%), edema (63%</w:t>
      </w:r>
      <w:r w:rsidR="001F685E">
        <w:rPr>
          <w:bCs/>
        </w:rPr>
        <w:t xml:space="preserve"> </w:t>
      </w:r>
      <w:r w:rsidR="001F685E" w:rsidRPr="001F685E">
        <w:rPr>
          <w:bCs/>
        </w:rPr>
        <w:t xml:space="preserve">and </w:t>
      </w:r>
      <w:r>
        <w:rPr>
          <w:bCs/>
        </w:rPr>
        <w:t>75% vs. 19%)</w:t>
      </w:r>
      <w:r w:rsidR="001F685E">
        <w:rPr>
          <w:bCs/>
        </w:rPr>
        <w:t xml:space="preserve">, erosion/ulceration (52% and 62% vs. 9%), exudate (39% and 51% vs. 4%). </w:t>
      </w:r>
    </w:p>
    <w:p w:rsidR="00991E4D" w:rsidRDefault="00991E4D" w:rsidP="00991E4D">
      <w:pPr>
        <w:pStyle w:val="Heading2"/>
      </w:pPr>
      <w:r>
        <w:t>Cosmetic Outcomes</w:t>
      </w:r>
    </w:p>
    <w:p w:rsidR="00C1534A" w:rsidRDefault="00C1534A">
      <w:proofErr w:type="spellStart"/>
      <w:r>
        <w:t>Ingenol</w:t>
      </w:r>
      <w:proofErr w:type="spellEnd"/>
      <w:r>
        <w:t xml:space="preserve"> </w:t>
      </w:r>
      <w:proofErr w:type="spellStart"/>
      <w:r>
        <w:t>mebutate</w:t>
      </w:r>
      <w:proofErr w:type="spellEnd"/>
      <w:r>
        <w:t xml:space="preserve"> therapy was associated with minimal </w:t>
      </w:r>
      <w:proofErr w:type="spellStart"/>
      <w:r>
        <w:t>dyspigmentation</w:t>
      </w:r>
      <w:proofErr w:type="spellEnd"/>
      <w:r>
        <w:t xml:space="preserve"> and minimal scarring.</w:t>
      </w:r>
      <w:r w:rsidRPr="00C1534A">
        <w:rPr>
          <w:vertAlign w:val="superscript"/>
        </w:rPr>
        <w:fldChar w:fldCharType="begin"/>
      </w:r>
      <w:r w:rsidRPr="00C1534A">
        <w:rPr>
          <w:vertAlign w:val="superscript"/>
        </w:rPr>
        <w:instrText xml:space="preserve"> NOTEREF _Ref379373846 \h  \* MERGEFORMAT </w:instrText>
      </w:r>
      <w:r w:rsidRPr="00C1534A">
        <w:rPr>
          <w:vertAlign w:val="superscript"/>
        </w:rPr>
      </w:r>
      <w:r w:rsidRPr="00C1534A">
        <w:rPr>
          <w:vertAlign w:val="superscript"/>
        </w:rPr>
        <w:fldChar w:fldCharType="separate"/>
      </w:r>
      <w:r w:rsidRPr="00C1534A">
        <w:rPr>
          <w:vertAlign w:val="superscript"/>
        </w:rPr>
        <w:t>15</w:t>
      </w:r>
      <w:r w:rsidRPr="00C1534A">
        <w:rPr>
          <w:vertAlign w:val="superscript"/>
        </w:rPr>
        <w:fldChar w:fldCharType="end"/>
      </w:r>
      <w:r>
        <w:t xml:space="preserve"> </w:t>
      </w:r>
    </w:p>
    <w:p w:rsidR="00991E4D" w:rsidRDefault="00991E4D">
      <w:r>
        <w:t>According to the Cochrane review by Gupta (2012; 3 RCTs</w:t>
      </w:r>
      <w:proofErr w:type="gramStart"/>
      <w:r>
        <w:t>,</w:t>
      </w:r>
      <w:proofErr w:type="gramEnd"/>
      <w:r w:rsidRPr="00991E4D">
        <w:rPr>
          <w:vertAlign w:val="superscript"/>
        </w:rPr>
        <w:fldChar w:fldCharType="begin"/>
      </w:r>
      <w:r w:rsidRPr="00991E4D">
        <w:rPr>
          <w:vertAlign w:val="superscript"/>
        </w:rPr>
        <w:instrText xml:space="preserve"> NOTEREF _Ref374352810 \h </w:instrText>
      </w:r>
      <w:r>
        <w:rPr>
          <w:vertAlign w:val="superscript"/>
        </w:rPr>
        <w:instrText xml:space="preserve"> \* MERGEFORMAT </w:instrText>
      </w:r>
      <w:r w:rsidRPr="00991E4D">
        <w:rPr>
          <w:vertAlign w:val="superscript"/>
        </w:rPr>
      </w:r>
      <w:r w:rsidRPr="00991E4D">
        <w:rPr>
          <w:vertAlign w:val="superscript"/>
        </w:rPr>
        <w:fldChar w:fldCharType="separate"/>
      </w:r>
      <w:r w:rsidR="00D93D73">
        <w:rPr>
          <w:vertAlign w:val="superscript"/>
        </w:rPr>
        <w:t>20</w:t>
      </w:r>
      <w:r w:rsidRPr="00991E4D">
        <w:rPr>
          <w:vertAlign w:val="superscript"/>
        </w:rPr>
        <w:fldChar w:fldCharType="end"/>
      </w:r>
      <w:r w:rsidRPr="00991E4D">
        <w:rPr>
          <w:vertAlign w:val="superscript"/>
        </w:rPr>
        <w:t>,</w:t>
      </w:r>
      <w:r w:rsidRPr="00991E4D">
        <w:rPr>
          <w:vertAlign w:val="superscript"/>
        </w:rPr>
        <w:fldChar w:fldCharType="begin"/>
      </w:r>
      <w:r w:rsidRPr="00991E4D">
        <w:rPr>
          <w:vertAlign w:val="superscript"/>
        </w:rPr>
        <w:instrText xml:space="preserve"> NOTEREF _Ref374352916 \h </w:instrText>
      </w:r>
      <w:r>
        <w:rPr>
          <w:vertAlign w:val="superscript"/>
        </w:rPr>
        <w:instrText xml:space="preserve"> \* MERGEFORMAT </w:instrText>
      </w:r>
      <w:r w:rsidRPr="00991E4D">
        <w:rPr>
          <w:vertAlign w:val="superscript"/>
        </w:rPr>
      </w:r>
      <w:r w:rsidRPr="00991E4D">
        <w:rPr>
          <w:vertAlign w:val="superscript"/>
        </w:rPr>
        <w:fldChar w:fldCharType="separate"/>
      </w:r>
      <w:r w:rsidR="00D93D73">
        <w:rPr>
          <w:vertAlign w:val="superscript"/>
        </w:rPr>
        <w:t>21</w:t>
      </w:r>
      <w:r w:rsidRPr="00991E4D">
        <w:rPr>
          <w:vertAlign w:val="superscript"/>
        </w:rPr>
        <w:fldChar w:fldCharType="end"/>
      </w:r>
      <w:r w:rsidRPr="00991E4D">
        <w:rPr>
          <w:vertAlign w:val="superscript"/>
        </w:rPr>
        <w:t>,</w:t>
      </w:r>
      <w:r w:rsidRPr="00991E4D">
        <w:rPr>
          <w:vertAlign w:val="superscript"/>
        </w:rPr>
        <w:fldChar w:fldCharType="begin"/>
      </w:r>
      <w:r w:rsidRPr="00991E4D">
        <w:rPr>
          <w:vertAlign w:val="superscript"/>
        </w:rPr>
        <w:instrText xml:space="preserve"> NOTEREF _Ref374352813 \h </w:instrText>
      </w:r>
      <w:r>
        <w:rPr>
          <w:vertAlign w:val="superscript"/>
        </w:rPr>
        <w:instrText xml:space="preserve"> \* MERGEFORMAT </w:instrText>
      </w:r>
      <w:r w:rsidRPr="00991E4D">
        <w:rPr>
          <w:vertAlign w:val="superscript"/>
        </w:rPr>
      </w:r>
      <w:r w:rsidRPr="00991E4D">
        <w:rPr>
          <w:vertAlign w:val="superscript"/>
        </w:rPr>
        <w:fldChar w:fldCharType="separate"/>
      </w:r>
      <w:r w:rsidR="00D93D73">
        <w:rPr>
          <w:vertAlign w:val="superscript"/>
        </w:rPr>
        <w:t>22</w:t>
      </w:r>
      <w:r w:rsidRPr="00991E4D">
        <w:rPr>
          <w:vertAlign w:val="superscript"/>
        </w:rPr>
        <w:fldChar w:fldCharType="end"/>
      </w:r>
      <w:r>
        <w:t xml:space="preserve"> N=540), </w:t>
      </w:r>
      <w:proofErr w:type="spellStart"/>
      <w:r w:rsidR="00B03C7B">
        <w:t>ingenol</w:t>
      </w:r>
      <w:proofErr w:type="spellEnd"/>
      <w:r w:rsidR="00B03C7B">
        <w:t xml:space="preserve"> </w:t>
      </w:r>
      <w:proofErr w:type="spellStart"/>
      <w:r w:rsidR="00B03C7B">
        <w:t>mebutate</w:t>
      </w:r>
      <w:proofErr w:type="spellEnd"/>
      <w:r>
        <w:t xml:space="preserve"> was not associated with scarring, but 17 (5.2%) of 325 </w:t>
      </w:r>
      <w:proofErr w:type="spellStart"/>
      <w:r w:rsidR="00B03C7B">
        <w:t>ingenol</w:t>
      </w:r>
      <w:proofErr w:type="spellEnd"/>
      <w:r w:rsidR="00B03C7B">
        <w:t xml:space="preserve"> </w:t>
      </w:r>
      <w:proofErr w:type="spellStart"/>
      <w:r w:rsidR="00B03C7B">
        <w:t>mebutate</w:t>
      </w:r>
      <w:proofErr w:type="spellEnd"/>
      <w:r>
        <w:t>–treated patients versus 1 (0.5%) of 189 vehicle-treated patients experienced pigmentation changes (RR 3.36; 95% CI 0.63–17.80; NSD).</w:t>
      </w:r>
      <w:r w:rsidR="007D4B95">
        <w:t xml:space="preserve"> The RR point estimate for the 0.05% gel </w:t>
      </w:r>
      <w:r w:rsidR="007C279E">
        <w:t xml:space="preserve">versus vehicle </w:t>
      </w:r>
      <w:r w:rsidR="007D4B95">
        <w:t>(RR 4.86; 95% CI 0.48–49.39) was higher than that for the 0.01% gel (RR 1.47; 0.08–25.88), with both strengths applied for 2 days; however, the 95% CIs overlapped and there was no statistically significant difference between the different strengths.</w:t>
      </w:r>
    </w:p>
    <w:p w:rsidR="007C279E" w:rsidRDefault="007C279E">
      <w:r>
        <w:t xml:space="preserve">Of the topical therapies, </w:t>
      </w:r>
      <w:proofErr w:type="spellStart"/>
      <w:r>
        <w:t>imiquimod</w:t>
      </w:r>
      <w:proofErr w:type="spellEnd"/>
      <w:r>
        <w:t xml:space="preserve"> seemed to produce better cosmetic outcomes than 5-fluorouracil. No conclusions about comparative cosmetic outcomes were made with </w:t>
      </w:r>
      <w:proofErr w:type="spellStart"/>
      <w:r w:rsidR="00B03C7B">
        <w:t>ingenol</w:t>
      </w:r>
      <w:proofErr w:type="spellEnd"/>
      <w:r w:rsidR="00B03C7B">
        <w:t xml:space="preserve"> </w:t>
      </w:r>
      <w:proofErr w:type="spellStart"/>
      <w:r w:rsidR="00B03C7B">
        <w:t>mebutate</w:t>
      </w:r>
      <w:proofErr w:type="spellEnd"/>
      <w:r>
        <w:t>.</w:t>
      </w:r>
    </w:p>
    <w:p w:rsidR="00537E8D" w:rsidRDefault="00537E8D">
      <w:pPr>
        <w:pStyle w:val="Heading2"/>
      </w:pPr>
      <w:r>
        <w:t>Other Adverse Events</w:t>
      </w:r>
    </w:p>
    <w:p w:rsidR="00537E8D" w:rsidRDefault="00853E9F">
      <w:r>
        <w:t>Eyelid edema, eye pain, conjunctivitis</w:t>
      </w:r>
    </w:p>
    <w:p w:rsidR="00537E8D" w:rsidRDefault="00853E9F" w:rsidP="00853E9F">
      <w:pPr>
        <w:pStyle w:val="Heading2"/>
      </w:pPr>
      <w:r>
        <w:t>Long-term Safety</w:t>
      </w:r>
    </w:p>
    <w:p w:rsidR="004153E9" w:rsidRPr="00853E9F" w:rsidRDefault="00853E9F" w:rsidP="00853E9F">
      <w:r>
        <w:t>No new safety concerns were identified during a 12-month follow-up.</w:t>
      </w:r>
    </w:p>
    <w:p w:rsidR="00537E8D" w:rsidRDefault="00537E8D">
      <w:pPr>
        <w:pStyle w:val="Heading1"/>
      </w:pPr>
      <w:r>
        <w:t>Contraindications</w:t>
      </w:r>
    </w:p>
    <w:p w:rsidR="00537E8D" w:rsidRDefault="00351AE4">
      <w:r>
        <w:t>None</w:t>
      </w:r>
    </w:p>
    <w:p w:rsidR="00537E8D" w:rsidRDefault="00E95D62" w:rsidP="00E95D62">
      <w:pPr>
        <w:pStyle w:val="Heading1"/>
      </w:pPr>
      <w:r>
        <w:t xml:space="preserve">Warnings and </w:t>
      </w:r>
      <w:r w:rsidR="00537E8D">
        <w:t>Precautions</w:t>
      </w:r>
    </w:p>
    <w:p w:rsidR="00537E8D" w:rsidRDefault="00351AE4">
      <w:r>
        <w:t xml:space="preserve">Eye disorders, including severe eye pain, eyelid edema, eyelid ptosis, and </w:t>
      </w:r>
      <w:proofErr w:type="spellStart"/>
      <w:r>
        <w:t>periorbital</w:t>
      </w:r>
      <w:proofErr w:type="spellEnd"/>
      <w:r>
        <w:t xml:space="preserve"> edema, can occur if </w:t>
      </w:r>
      <w:proofErr w:type="spellStart"/>
      <w:r>
        <w:t>ingenol</w:t>
      </w:r>
      <w:proofErr w:type="spellEnd"/>
      <w:r>
        <w:t xml:space="preserve"> </w:t>
      </w:r>
      <w:proofErr w:type="spellStart"/>
      <w:r>
        <w:t>mebutate</w:t>
      </w:r>
      <w:proofErr w:type="spellEnd"/>
      <w:r>
        <w:t xml:space="preserve"> gel is transferred to the </w:t>
      </w:r>
      <w:proofErr w:type="spellStart"/>
      <w:r>
        <w:t>periocular</w:t>
      </w:r>
      <w:proofErr w:type="spellEnd"/>
      <w:r>
        <w:t xml:space="preserve"> area. If accidental exposure to the eye occurs, the patient should flush the area with water and seek medical attention as soon as possible.</w:t>
      </w:r>
    </w:p>
    <w:p w:rsidR="002D622B" w:rsidRDefault="00351AE4">
      <w:r>
        <w:t xml:space="preserve">Severe local skin reactions, including erythema, crusting, swelling, </w:t>
      </w:r>
      <w:proofErr w:type="spellStart"/>
      <w:r>
        <w:t>vesiculation</w:t>
      </w:r>
      <w:proofErr w:type="spellEnd"/>
      <w:r>
        <w:t xml:space="preserve"> / postulation and erosion / ulceration, can occur after topical application of </w:t>
      </w:r>
      <w:proofErr w:type="spellStart"/>
      <w:r>
        <w:t>ingenol</w:t>
      </w:r>
      <w:proofErr w:type="spellEnd"/>
      <w:r>
        <w:t xml:space="preserve"> </w:t>
      </w:r>
      <w:proofErr w:type="spellStart"/>
      <w:r>
        <w:t>mebutate</w:t>
      </w:r>
      <w:proofErr w:type="spellEnd"/>
      <w:r>
        <w:t xml:space="preserve"> gel. Application of </w:t>
      </w:r>
      <w:proofErr w:type="spellStart"/>
      <w:r>
        <w:t>ingenol</w:t>
      </w:r>
      <w:proofErr w:type="spellEnd"/>
      <w:r>
        <w:t xml:space="preserve"> </w:t>
      </w:r>
      <w:proofErr w:type="spellStart"/>
      <w:r>
        <w:t>mebutate</w:t>
      </w:r>
      <w:proofErr w:type="spellEnd"/>
      <w:r>
        <w:t xml:space="preserve"> gel should be withheld until the skin is healed from any previous drug or surgical treatment.</w:t>
      </w:r>
    </w:p>
    <w:p w:rsidR="0038158D" w:rsidRDefault="0038158D" w:rsidP="0038158D">
      <w:pPr>
        <w:pStyle w:val="Heading1"/>
      </w:pPr>
      <w:r>
        <w:t>Special Populations</w:t>
      </w:r>
    </w:p>
    <w:p w:rsidR="0038158D" w:rsidRDefault="00853E9F" w:rsidP="00853E9F">
      <w:pPr>
        <w:pStyle w:val="Heading2"/>
      </w:pPr>
      <w:r>
        <w:t>Pregnancy</w:t>
      </w:r>
    </w:p>
    <w:p w:rsidR="0038158D" w:rsidRDefault="00853E9F" w:rsidP="0038158D">
      <w:proofErr w:type="gramStart"/>
      <w:r>
        <w:t>Category C</w:t>
      </w:r>
      <w:r w:rsidR="00991BED">
        <w:t>.</w:t>
      </w:r>
      <w:proofErr w:type="gramEnd"/>
      <w:r w:rsidR="00991BED">
        <w:t xml:space="preserve"> </w:t>
      </w:r>
      <w:r w:rsidR="00991BED" w:rsidRPr="00991BED">
        <w:t xml:space="preserve">There was no evidence of adverse </w:t>
      </w:r>
      <w:proofErr w:type="spellStart"/>
      <w:r w:rsidR="00991BED" w:rsidRPr="00991BED">
        <w:t>embryofetal</w:t>
      </w:r>
      <w:proofErr w:type="spellEnd"/>
      <w:r w:rsidR="00991BED" w:rsidRPr="00991BED">
        <w:t xml:space="preserve"> effects in studies conducted in pregnant rats. There was an increase in </w:t>
      </w:r>
      <w:proofErr w:type="spellStart"/>
      <w:r w:rsidR="00991BED" w:rsidRPr="00991BED">
        <w:t>embryofetal</w:t>
      </w:r>
      <w:proofErr w:type="spellEnd"/>
      <w:r w:rsidR="00991BED" w:rsidRPr="00991BED">
        <w:t xml:space="preserve"> mortality (highest dose only) and fetal visceral and skeletal variations (all doses) when pregnant rabbits received 12, 24, or 48 mcg/m</w:t>
      </w:r>
      <w:r w:rsidR="00991BED" w:rsidRPr="00991BED">
        <w:rPr>
          <w:vertAlign w:val="superscript"/>
        </w:rPr>
        <w:t>2</w:t>
      </w:r>
      <w:r w:rsidR="00991BED" w:rsidRPr="00991BED">
        <w:t xml:space="preserve">/day of </w:t>
      </w:r>
      <w:proofErr w:type="spellStart"/>
      <w:r w:rsidR="00991BED" w:rsidRPr="00991BED">
        <w:t>ingenol</w:t>
      </w:r>
      <w:proofErr w:type="spellEnd"/>
      <w:r w:rsidR="00991BED" w:rsidRPr="00991BED">
        <w:t xml:space="preserve"> </w:t>
      </w:r>
      <w:proofErr w:type="spellStart"/>
      <w:r w:rsidR="00991BED" w:rsidRPr="00991BED">
        <w:t>mebutate</w:t>
      </w:r>
      <w:proofErr w:type="spellEnd"/>
      <w:r w:rsidR="00991BED" w:rsidRPr="00991BED">
        <w:t xml:space="preserve"> intravenously. However, the clinical relevance of these findings is unclear, as human systemic exposure to </w:t>
      </w:r>
      <w:proofErr w:type="spellStart"/>
      <w:r w:rsidR="00991BED" w:rsidRPr="00991BED">
        <w:t>ingenol</w:t>
      </w:r>
      <w:proofErr w:type="spellEnd"/>
      <w:r w:rsidR="00991BED" w:rsidRPr="00991BED">
        <w:t xml:space="preserve"> </w:t>
      </w:r>
      <w:proofErr w:type="spellStart"/>
      <w:r w:rsidR="00991BED" w:rsidRPr="00991BED">
        <w:t>mebutate</w:t>
      </w:r>
      <w:proofErr w:type="spellEnd"/>
      <w:r w:rsidR="00991BED" w:rsidRPr="00991BED">
        <w:t xml:space="preserve"> was below the limit of detection in subjects with actinic keratosis applied </w:t>
      </w:r>
      <w:proofErr w:type="spellStart"/>
      <w:r w:rsidR="00991BED">
        <w:t>ingenol</w:t>
      </w:r>
      <w:proofErr w:type="spellEnd"/>
      <w:r w:rsidR="00991BED">
        <w:t xml:space="preserve"> </w:t>
      </w:r>
      <w:proofErr w:type="spellStart"/>
      <w:r w:rsidR="00991BED">
        <w:t>mebutate</w:t>
      </w:r>
      <w:proofErr w:type="spellEnd"/>
      <w:r w:rsidR="00991BED" w:rsidRPr="00991BED">
        <w:t xml:space="preserve"> gel, 0.05% over a 100</w:t>
      </w:r>
      <w:r w:rsidR="00991BED">
        <w:t>-</w:t>
      </w:r>
      <w:r w:rsidR="00991BED" w:rsidRPr="00991BED">
        <w:t>cm</w:t>
      </w:r>
      <w:r w:rsidR="00991BED" w:rsidRPr="00991BED">
        <w:rPr>
          <w:vertAlign w:val="superscript"/>
        </w:rPr>
        <w:t>2</w:t>
      </w:r>
      <w:r w:rsidR="00991BED" w:rsidRPr="00991BED">
        <w:t xml:space="preserve"> treatment area.</w:t>
      </w:r>
    </w:p>
    <w:p w:rsidR="00853E9F" w:rsidRDefault="00853E9F" w:rsidP="00853E9F">
      <w:pPr>
        <w:pStyle w:val="Heading2"/>
      </w:pPr>
      <w:r>
        <w:t>Geriatric Use</w:t>
      </w:r>
    </w:p>
    <w:p w:rsidR="00853E9F" w:rsidRDefault="00853E9F" w:rsidP="00853E9F">
      <w:r>
        <w:t>Of 1165 treated subjects in clinical trials, 56% were 65 years or older and 21% were 75 years or older. No overall differences in safety or efficacy were observed between older (≥ 65 years of age) and younger subjects.</w:t>
      </w:r>
    </w:p>
    <w:p w:rsidR="00FD0F9F" w:rsidRDefault="00FD0F9F" w:rsidP="00FD0F9F">
      <w:pPr>
        <w:pStyle w:val="Heading2"/>
      </w:pPr>
      <w:r>
        <w:t>Immunocompromised / Organ Transplant</w:t>
      </w:r>
    </w:p>
    <w:p w:rsidR="00FD0F9F" w:rsidRPr="00853E9F" w:rsidRDefault="00FD0F9F" w:rsidP="00853E9F">
      <w:r>
        <w:t>No data.</w:t>
      </w:r>
    </w:p>
    <w:p w:rsidR="00F65446" w:rsidRDefault="00F65446" w:rsidP="00F65446">
      <w:pPr>
        <w:pStyle w:val="Heading1"/>
      </w:pPr>
      <w:proofErr w:type="spellStart"/>
      <w:r>
        <w:t>Postmarketing</w:t>
      </w:r>
      <w:proofErr w:type="spellEnd"/>
      <w:r>
        <w:t xml:space="preserve"> Safety Experience</w:t>
      </w:r>
    </w:p>
    <w:p w:rsidR="00F65446" w:rsidRPr="00F65446" w:rsidRDefault="00853E9F" w:rsidP="00F65446">
      <w:proofErr w:type="gramStart"/>
      <w:r>
        <w:t>Data not available.</w:t>
      </w:r>
      <w:proofErr w:type="gramEnd"/>
    </w:p>
    <w:p w:rsidR="00054692" w:rsidRPr="00054692" w:rsidRDefault="00054692" w:rsidP="00F65446">
      <w:pPr>
        <w:pStyle w:val="Heading1"/>
      </w:pPr>
      <w:r w:rsidRPr="00054692">
        <w:t>Sentinel Events</w:t>
      </w:r>
    </w:p>
    <w:p w:rsidR="00054692" w:rsidRPr="00054692" w:rsidRDefault="00853E9F" w:rsidP="00054692">
      <w:r>
        <w:t>None</w:t>
      </w:r>
    </w:p>
    <w:p w:rsidR="00537E8D" w:rsidRDefault="00537E8D">
      <w:pPr>
        <w:pStyle w:val="Heading1"/>
      </w:pPr>
      <w:r>
        <w:t>Look-alike / Sound-alike (LA / SA) Error Risk Potential</w:t>
      </w:r>
    </w:p>
    <w:p w:rsidR="00537E8D" w:rsidRDefault="00BA550F">
      <w:r w:rsidRPr="00BA550F">
        <w:t xml:space="preserve">As part of a JCAHO standard, LASA names are assessed during the formulary selection of drugs. Based on clinical judgment and an evaluation of LASA information from </w:t>
      </w:r>
      <w:r w:rsidR="004F3CCC">
        <w:t xml:space="preserve">three </w:t>
      </w:r>
      <w:r w:rsidRPr="00BA550F">
        <w:t>data sources (Lexi-Comp, First Databank, and ISMP Confused Drug Name List), the following drug names may cause LASA confusion</w:t>
      </w:r>
      <w:r w:rsidR="00537E8D">
        <w:t>:</w:t>
      </w:r>
    </w:p>
    <w:tbl>
      <w:tblPr>
        <w:tblW w:w="5000" w:type="pct"/>
        <w:tblCellMar>
          <w:left w:w="0" w:type="dxa"/>
          <w:right w:w="0" w:type="dxa"/>
        </w:tblCellMar>
        <w:tblLook w:val="04A0" w:firstRow="1" w:lastRow="0" w:firstColumn="1" w:lastColumn="0" w:noHBand="0" w:noVBand="1"/>
      </w:tblPr>
      <w:tblGrid>
        <w:gridCol w:w="4317"/>
        <w:gridCol w:w="1255"/>
        <w:gridCol w:w="1625"/>
        <w:gridCol w:w="758"/>
        <w:gridCol w:w="2341"/>
      </w:tblGrid>
      <w:tr w:rsidR="00522417" w:rsidRPr="009F6AF9" w:rsidTr="00522417">
        <w:tc>
          <w:tcPr>
            <w:tcW w:w="2096" w:type="pct"/>
            <w:tcBorders>
              <w:top w:val="single" w:sz="8" w:space="0" w:color="000000"/>
              <w:left w:val="nil"/>
              <w:bottom w:val="single" w:sz="8" w:space="0" w:color="000000"/>
            </w:tcBorders>
            <w:shd w:val="clear" w:color="auto" w:fill="EEECE1"/>
            <w:tcMar>
              <w:top w:w="0" w:type="dxa"/>
              <w:left w:w="108" w:type="dxa"/>
              <w:bottom w:w="0" w:type="dxa"/>
              <w:right w:w="108" w:type="dxa"/>
            </w:tcMar>
            <w:vAlign w:val="bottom"/>
            <w:hideMark/>
          </w:tcPr>
          <w:p w:rsidR="00522417" w:rsidRPr="009F6AF9" w:rsidRDefault="00522417" w:rsidP="009F6AF9">
            <w:pPr>
              <w:pStyle w:val="Table"/>
              <w:spacing w:before="40" w:after="40"/>
            </w:pPr>
            <w:r w:rsidRPr="009F6AF9">
              <w:t>NME Drug Name</w:t>
            </w:r>
          </w:p>
        </w:tc>
        <w:tc>
          <w:tcPr>
            <w:tcW w:w="609" w:type="pct"/>
            <w:tcBorders>
              <w:top w:val="single" w:sz="8" w:space="0" w:color="000000"/>
              <w:bottom w:val="single" w:sz="8" w:space="0" w:color="000000"/>
            </w:tcBorders>
            <w:shd w:val="clear" w:color="auto" w:fill="EEECE1"/>
            <w:tcMar>
              <w:top w:w="0" w:type="dxa"/>
              <w:left w:w="108" w:type="dxa"/>
              <w:bottom w:w="0" w:type="dxa"/>
              <w:right w:w="108" w:type="dxa"/>
            </w:tcMar>
            <w:vAlign w:val="bottom"/>
            <w:hideMark/>
          </w:tcPr>
          <w:p w:rsidR="00522417" w:rsidRPr="009F6AF9" w:rsidRDefault="00522417" w:rsidP="009F6AF9">
            <w:pPr>
              <w:pStyle w:val="Table"/>
              <w:spacing w:before="40" w:after="40"/>
            </w:pPr>
            <w:r w:rsidRPr="009F6AF9">
              <w:t>Lexi-Comp</w:t>
            </w:r>
          </w:p>
        </w:tc>
        <w:tc>
          <w:tcPr>
            <w:tcW w:w="789" w:type="pct"/>
            <w:tcBorders>
              <w:top w:val="single" w:sz="8" w:space="0" w:color="000000"/>
              <w:bottom w:val="single" w:sz="8" w:space="0" w:color="000000"/>
            </w:tcBorders>
            <w:shd w:val="clear" w:color="auto" w:fill="EEECE1"/>
            <w:tcMar>
              <w:top w:w="0" w:type="dxa"/>
              <w:left w:w="108" w:type="dxa"/>
              <w:bottom w:w="0" w:type="dxa"/>
              <w:right w:w="108" w:type="dxa"/>
            </w:tcMar>
            <w:vAlign w:val="bottom"/>
            <w:hideMark/>
          </w:tcPr>
          <w:p w:rsidR="00522417" w:rsidRPr="009F6AF9" w:rsidRDefault="00522417" w:rsidP="009F6AF9">
            <w:pPr>
              <w:pStyle w:val="Table"/>
              <w:spacing w:before="40" w:after="40"/>
            </w:pPr>
            <w:r w:rsidRPr="009F6AF9">
              <w:t xml:space="preserve">First </w:t>
            </w:r>
            <w:proofErr w:type="spellStart"/>
            <w:r w:rsidRPr="009F6AF9">
              <w:t>DataBank</w:t>
            </w:r>
            <w:proofErr w:type="spellEnd"/>
          </w:p>
        </w:tc>
        <w:tc>
          <w:tcPr>
            <w:tcW w:w="368" w:type="pct"/>
            <w:tcBorders>
              <w:top w:val="single" w:sz="8" w:space="0" w:color="000000"/>
              <w:bottom w:val="single" w:sz="8" w:space="0" w:color="000000"/>
            </w:tcBorders>
            <w:shd w:val="clear" w:color="auto" w:fill="EEECE1"/>
            <w:tcMar>
              <w:top w:w="0" w:type="dxa"/>
              <w:left w:w="108" w:type="dxa"/>
              <w:bottom w:w="0" w:type="dxa"/>
              <w:right w:w="108" w:type="dxa"/>
            </w:tcMar>
            <w:vAlign w:val="bottom"/>
            <w:hideMark/>
          </w:tcPr>
          <w:p w:rsidR="00522417" w:rsidRPr="009F6AF9" w:rsidRDefault="00522417" w:rsidP="009F6AF9">
            <w:pPr>
              <w:pStyle w:val="Table"/>
              <w:spacing w:before="40" w:after="40"/>
            </w:pPr>
            <w:r w:rsidRPr="009F6AF9">
              <w:t>ISMP</w:t>
            </w:r>
          </w:p>
        </w:tc>
        <w:tc>
          <w:tcPr>
            <w:tcW w:w="1137" w:type="pct"/>
            <w:tcBorders>
              <w:top w:val="single" w:sz="8" w:space="0" w:color="000000"/>
              <w:bottom w:val="single" w:sz="8" w:space="0" w:color="000000"/>
            </w:tcBorders>
            <w:shd w:val="clear" w:color="auto" w:fill="EEECE1"/>
            <w:tcMar>
              <w:top w:w="0" w:type="dxa"/>
              <w:left w:w="108" w:type="dxa"/>
              <w:bottom w:w="0" w:type="dxa"/>
              <w:right w:w="108" w:type="dxa"/>
            </w:tcMar>
            <w:vAlign w:val="bottom"/>
            <w:hideMark/>
          </w:tcPr>
          <w:p w:rsidR="00522417" w:rsidRPr="009F6AF9" w:rsidRDefault="00522417" w:rsidP="009F6AF9">
            <w:pPr>
              <w:pStyle w:val="Table"/>
              <w:spacing w:before="40" w:after="40"/>
            </w:pPr>
            <w:r w:rsidRPr="009F6AF9">
              <w:t>Clinical Judgment</w:t>
            </w:r>
          </w:p>
        </w:tc>
      </w:tr>
      <w:tr w:rsidR="00522417" w:rsidRPr="009F6AF9" w:rsidTr="00522417">
        <w:trPr>
          <w:cantSplit/>
        </w:trPr>
        <w:tc>
          <w:tcPr>
            <w:tcW w:w="2096" w:type="pct"/>
            <w:tcBorders>
              <w:top w:val="nil"/>
              <w:left w:val="nil"/>
              <w:bottom w:val="nil"/>
            </w:tcBorders>
            <w:tcMar>
              <w:top w:w="0" w:type="dxa"/>
              <w:left w:w="108" w:type="dxa"/>
              <w:bottom w:w="0" w:type="dxa"/>
              <w:right w:w="108" w:type="dxa"/>
            </w:tcMar>
          </w:tcPr>
          <w:p w:rsidR="00522417" w:rsidRPr="009F6AF9" w:rsidRDefault="00522417" w:rsidP="009F6AF9">
            <w:pPr>
              <w:pStyle w:val="Table"/>
              <w:spacing w:before="40" w:after="40"/>
            </w:pPr>
            <w:proofErr w:type="spellStart"/>
            <w:r w:rsidRPr="009F6AF9">
              <w:t>Ingenol</w:t>
            </w:r>
            <w:proofErr w:type="spellEnd"/>
            <w:r w:rsidRPr="009F6AF9">
              <w:t xml:space="preserve"> </w:t>
            </w:r>
            <w:proofErr w:type="spellStart"/>
            <w:r w:rsidRPr="009F6AF9">
              <w:t>mebutate</w:t>
            </w:r>
            <w:proofErr w:type="spellEnd"/>
            <w:r w:rsidRPr="009F6AF9">
              <w:t xml:space="preserve"> 0.015%, 0.05% topical gel</w:t>
            </w:r>
          </w:p>
        </w:tc>
        <w:tc>
          <w:tcPr>
            <w:tcW w:w="609" w:type="pct"/>
            <w:tcBorders>
              <w:top w:val="nil"/>
              <w:bottom w:val="nil"/>
            </w:tcBorders>
            <w:tcMar>
              <w:top w:w="0" w:type="dxa"/>
              <w:left w:w="108" w:type="dxa"/>
              <w:bottom w:w="0" w:type="dxa"/>
              <w:right w:w="108" w:type="dxa"/>
            </w:tcMar>
          </w:tcPr>
          <w:p w:rsidR="00522417" w:rsidRPr="009F6AF9" w:rsidRDefault="00522417" w:rsidP="009F6AF9">
            <w:pPr>
              <w:pStyle w:val="Table"/>
              <w:spacing w:before="40" w:after="40"/>
            </w:pPr>
            <w:r w:rsidRPr="009F6AF9">
              <w:t>None</w:t>
            </w:r>
          </w:p>
        </w:tc>
        <w:tc>
          <w:tcPr>
            <w:tcW w:w="789" w:type="pct"/>
            <w:tcBorders>
              <w:top w:val="nil"/>
              <w:bottom w:val="nil"/>
            </w:tcBorders>
            <w:tcMar>
              <w:top w:w="0" w:type="dxa"/>
              <w:left w:w="108" w:type="dxa"/>
              <w:bottom w:w="0" w:type="dxa"/>
              <w:right w:w="108" w:type="dxa"/>
            </w:tcMar>
          </w:tcPr>
          <w:p w:rsidR="00522417" w:rsidRPr="009F6AF9" w:rsidRDefault="00522417" w:rsidP="009F6AF9">
            <w:pPr>
              <w:pStyle w:val="Table"/>
              <w:spacing w:before="40" w:after="40"/>
            </w:pPr>
            <w:r w:rsidRPr="009F6AF9">
              <w:t>None</w:t>
            </w:r>
          </w:p>
        </w:tc>
        <w:tc>
          <w:tcPr>
            <w:tcW w:w="368" w:type="pct"/>
            <w:tcBorders>
              <w:top w:val="nil"/>
              <w:bottom w:val="nil"/>
            </w:tcBorders>
            <w:tcMar>
              <w:top w:w="0" w:type="dxa"/>
              <w:left w:w="108" w:type="dxa"/>
              <w:bottom w:w="0" w:type="dxa"/>
              <w:right w:w="108" w:type="dxa"/>
            </w:tcMar>
          </w:tcPr>
          <w:p w:rsidR="00522417" w:rsidRPr="009F6AF9" w:rsidRDefault="00522417" w:rsidP="009F6AF9">
            <w:pPr>
              <w:pStyle w:val="Table"/>
              <w:spacing w:before="40" w:after="40"/>
            </w:pPr>
            <w:r w:rsidRPr="009F6AF9">
              <w:t>None</w:t>
            </w:r>
          </w:p>
        </w:tc>
        <w:tc>
          <w:tcPr>
            <w:tcW w:w="1137" w:type="pct"/>
            <w:tcBorders>
              <w:top w:val="single" w:sz="8" w:space="0" w:color="000000"/>
              <w:bottom w:val="nil"/>
            </w:tcBorders>
            <w:tcMar>
              <w:top w:w="0" w:type="dxa"/>
              <w:left w:w="108" w:type="dxa"/>
              <w:bottom w:w="0" w:type="dxa"/>
              <w:right w:w="108" w:type="dxa"/>
            </w:tcMar>
          </w:tcPr>
          <w:p w:rsidR="00522417" w:rsidRPr="009F6AF9" w:rsidRDefault="00522417" w:rsidP="009F6AF9">
            <w:pPr>
              <w:pStyle w:val="Table"/>
              <w:spacing w:before="40" w:after="40"/>
            </w:pPr>
            <w:r w:rsidRPr="009F6AF9">
              <w:t>Inderal</w:t>
            </w:r>
          </w:p>
          <w:p w:rsidR="00522417" w:rsidRPr="009F6AF9" w:rsidRDefault="00522417" w:rsidP="009F6AF9">
            <w:pPr>
              <w:pStyle w:val="Table"/>
              <w:spacing w:before="40" w:after="40"/>
            </w:pPr>
            <w:proofErr w:type="spellStart"/>
            <w:r w:rsidRPr="009F6AF9">
              <w:t>Istalol</w:t>
            </w:r>
            <w:proofErr w:type="spellEnd"/>
            <w:r w:rsidRPr="009F6AF9">
              <w:t xml:space="preserve"> 0.5% </w:t>
            </w:r>
            <w:proofErr w:type="spellStart"/>
            <w:r w:rsidRPr="009F6AF9">
              <w:t>ophth</w:t>
            </w:r>
            <w:proofErr w:type="spellEnd"/>
            <w:r w:rsidRPr="009F6AF9">
              <w:t xml:space="preserve"> </w:t>
            </w:r>
            <w:proofErr w:type="spellStart"/>
            <w:r w:rsidRPr="009F6AF9">
              <w:t>soln</w:t>
            </w:r>
            <w:proofErr w:type="spellEnd"/>
          </w:p>
        </w:tc>
      </w:tr>
      <w:tr w:rsidR="00522417" w:rsidRPr="009F6AF9" w:rsidTr="00522417">
        <w:trPr>
          <w:cantSplit/>
        </w:trPr>
        <w:tc>
          <w:tcPr>
            <w:tcW w:w="2096" w:type="pct"/>
            <w:tcBorders>
              <w:top w:val="nil"/>
              <w:left w:val="nil"/>
              <w:bottom w:val="single" w:sz="8" w:space="0" w:color="000000"/>
            </w:tcBorders>
            <w:tcMar>
              <w:top w:w="0" w:type="dxa"/>
              <w:left w:w="108" w:type="dxa"/>
              <w:bottom w:w="0" w:type="dxa"/>
              <w:right w:w="108" w:type="dxa"/>
            </w:tcMar>
          </w:tcPr>
          <w:p w:rsidR="00522417" w:rsidRPr="009F6AF9" w:rsidRDefault="00522417" w:rsidP="009F6AF9">
            <w:pPr>
              <w:pStyle w:val="Table"/>
              <w:spacing w:before="40" w:after="40"/>
            </w:pPr>
            <w:r w:rsidRPr="009F6AF9">
              <w:t>PICATO</w:t>
            </w:r>
          </w:p>
        </w:tc>
        <w:tc>
          <w:tcPr>
            <w:tcW w:w="609" w:type="pct"/>
            <w:tcBorders>
              <w:top w:val="nil"/>
              <w:bottom w:val="single" w:sz="8" w:space="0" w:color="000000"/>
            </w:tcBorders>
            <w:tcMar>
              <w:top w:w="0" w:type="dxa"/>
              <w:left w:w="108" w:type="dxa"/>
              <w:bottom w:w="0" w:type="dxa"/>
              <w:right w:w="108" w:type="dxa"/>
            </w:tcMar>
          </w:tcPr>
          <w:p w:rsidR="00522417" w:rsidRPr="009F6AF9" w:rsidRDefault="00522417" w:rsidP="009F6AF9">
            <w:pPr>
              <w:pStyle w:val="Table"/>
              <w:spacing w:before="40" w:after="40"/>
            </w:pPr>
            <w:r w:rsidRPr="009F6AF9">
              <w:t>None</w:t>
            </w:r>
          </w:p>
        </w:tc>
        <w:tc>
          <w:tcPr>
            <w:tcW w:w="789" w:type="pct"/>
            <w:tcBorders>
              <w:top w:val="nil"/>
              <w:bottom w:val="single" w:sz="8" w:space="0" w:color="000000"/>
            </w:tcBorders>
            <w:tcMar>
              <w:top w:w="0" w:type="dxa"/>
              <w:left w:w="108" w:type="dxa"/>
              <w:bottom w:w="0" w:type="dxa"/>
              <w:right w:w="108" w:type="dxa"/>
            </w:tcMar>
          </w:tcPr>
          <w:p w:rsidR="00522417" w:rsidRPr="009F6AF9" w:rsidRDefault="00522417" w:rsidP="009F6AF9">
            <w:pPr>
              <w:pStyle w:val="Table"/>
              <w:spacing w:before="40" w:after="40"/>
            </w:pPr>
            <w:r w:rsidRPr="009F6AF9">
              <w:t>None</w:t>
            </w:r>
          </w:p>
        </w:tc>
        <w:tc>
          <w:tcPr>
            <w:tcW w:w="368" w:type="pct"/>
            <w:tcBorders>
              <w:top w:val="nil"/>
              <w:bottom w:val="single" w:sz="8" w:space="0" w:color="000000"/>
            </w:tcBorders>
            <w:tcMar>
              <w:top w:w="0" w:type="dxa"/>
              <w:left w:w="108" w:type="dxa"/>
              <w:bottom w:w="0" w:type="dxa"/>
              <w:right w:w="108" w:type="dxa"/>
            </w:tcMar>
          </w:tcPr>
          <w:p w:rsidR="00522417" w:rsidRPr="009F6AF9" w:rsidRDefault="00522417" w:rsidP="009F6AF9">
            <w:pPr>
              <w:pStyle w:val="Table"/>
              <w:spacing w:before="40" w:after="40"/>
            </w:pPr>
            <w:r w:rsidRPr="009F6AF9">
              <w:t>None</w:t>
            </w:r>
          </w:p>
        </w:tc>
        <w:tc>
          <w:tcPr>
            <w:tcW w:w="1137" w:type="pct"/>
            <w:tcBorders>
              <w:top w:val="nil"/>
              <w:bottom w:val="single" w:sz="8" w:space="0" w:color="000000"/>
            </w:tcBorders>
            <w:tcMar>
              <w:top w:w="0" w:type="dxa"/>
              <w:left w:w="108" w:type="dxa"/>
              <w:bottom w:w="0" w:type="dxa"/>
              <w:right w:w="108" w:type="dxa"/>
            </w:tcMar>
          </w:tcPr>
          <w:p w:rsidR="00522417" w:rsidRPr="009F6AF9" w:rsidRDefault="00522417" w:rsidP="009F6AF9">
            <w:pPr>
              <w:pStyle w:val="Table"/>
              <w:spacing w:before="40" w:after="40"/>
            </w:pPr>
            <w:proofErr w:type="spellStart"/>
            <w:r w:rsidRPr="009F6AF9">
              <w:t>Pilocar</w:t>
            </w:r>
            <w:proofErr w:type="spellEnd"/>
          </w:p>
        </w:tc>
      </w:tr>
    </w:tbl>
    <w:p w:rsidR="00853E9F" w:rsidRDefault="00853E9F"/>
    <w:p w:rsidR="00537E8D" w:rsidRDefault="00537E8D">
      <w:pPr>
        <w:pStyle w:val="Heading1"/>
      </w:pPr>
      <w:r>
        <w:t>Drug Interactions</w:t>
      </w:r>
    </w:p>
    <w:p w:rsidR="00537E8D" w:rsidRDefault="00537E8D">
      <w:pPr>
        <w:pStyle w:val="Heading2"/>
      </w:pPr>
      <w:r>
        <w:t>Drug-Drug Interactions</w:t>
      </w:r>
    </w:p>
    <w:p w:rsidR="00537E8D" w:rsidRDefault="00853E9F">
      <w:r>
        <w:t xml:space="preserve">In vitro </w:t>
      </w:r>
      <w:r w:rsidR="0027610D">
        <w:t xml:space="preserve">pharmacokinetic </w:t>
      </w:r>
      <w:r>
        <w:t>studies using blood concentration</w:t>
      </w:r>
      <w:r w:rsidR="0027610D">
        <w:t>s</w:t>
      </w:r>
      <w:r>
        <w:t xml:space="preserve"> of </w:t>
      </w:r>
      <w:proofErr w:type="spellStart"/>
      <w:r>
        <w:t>ingenol</w:t>
      </w:r>
      <w:proofErr w:type="spellEnd"/>
      <w:r>
        <w:t xml:space="preserve"> </w:t>
      </w:r>
      <w:proofErr w:type="spellStart"/>
      <w:r>
        <w:t>mebutate</w:t>
      </w:r>
      <w:proofErr w:type="spellEnd"/>
      <w:r w:rsidR="0027610D">
        <w:t xml:space="preserve"> higher than those achieved with topical administration (&lt; 0.1 ng/ml) revealed no CYP inhibition or induction effects</w:t>
      </w:r>
      <w:r w:rsidR="00537E8D">
        <w:t>.</w:t>
      </w:r>
    </w:p>
    <w:p w:rsidR="00537E8D" w:rsidRDefault="00537E8D">
      <w:pPr>
        <w:pStyle w:val="Heading1"/>
      </w:pPr>
      <w:proofErr w:type="spellStart"/>
      <w:r>
        <w:t>Pharmacoeconomic</w:t>
      </w:r>
      <w:proofErr w:type="spellEnd"/>
      <w:r>
        <w:t xml:space="preserve"> Analysis</w:t>
      </w:r>
    </w:p>
    <w:p w:rsidR="00537E8D" w:rsidRDefault="004B54CD">
      <w:r>
        <w:t xml:space="preserve">No </w:t>
      </w:r>
      <w:proofErr w:type="spellStart"/>
      <w:r>
        <w:t>pharmacoeconomic</w:t>
      </w:r>
      <w:proofErr w:type="spellEnd"/>
      <w:r>
        <w:t xml:space="preserve"> analyses relevant to VA were found.</w:t>
      </w:r>
    </w:p>
    <w:p w:rsidR="00A74052" w:rsidRDefault="00A74052" w:rsidP="00A74052">
      <w:pPr>
        <w:pStyle w:val="Heading1"/>
      </w:pPr>
      <w:r>
        <w:t>Practice Guideline Recommendations</w:t>
      </w:r>
    </w:p>
    <w:p w:rsidR="00A74052" w:rsidRDefault="009048AD" w:rsidP="00A74052">
      <w:r>
        <w:t xml:space="preserve">Practice guidelines for the treatment of actinic keratosis that were published from January 2008 to January 2014 are summarized in </w:t>
      </w:r>
      <w:r>
        <w:fldChar w:fldCharType="begin"/>
      </w:r>
      <w:r>
        <w:instrText xml:space="preserve"> REF _Ref378853910 \h </w:instrText>
      </w:r>
      <w:r>
        <w:fldChar w:fldCharType="separate"/>
      </w:r>
      <w:r w:rsidR="00D93D73">
        <w:t xml:space="preserve">Table </w:t>
      </w:r>
      <w:r w:rsidR="00D93D73">
        <w:rPr>
          <w:noProof/>
        </w:rPr>
        <w:t>11</w:t>
      </w:r>
      <w:r>
        <w:fldChar w:fldCharType="end"/>
      </w:r>
      <w:r>
        <w:t>.</w:t>
      </w:r>
    </w:p>
    <w:p w:rsidR="00A74052" w:rsidRDefault="009048AD" w:rsidP="007708B7">
      <w:pPr>
        <w:pStyle w:val="Caption"/>
        <w:ind w:left="900" w:hanging="900"/>
      </w:pPr>
      <w:bookmarkStart w:id="20" w:name="_Ref378853910"/>
      <w:r>
        <w:t xml:space="preserve">Table </w:t>
      </w:r>
      <w:r w:rsidR="00017C36">
        <w:fldChar w:fldCharType="begin"/>
      </w:r>
      <w:r w:rsidR="00017C36">
        <w:instrText xml:space="preserve"> SEQ Table \* ARABIC </w:instrText>
      </w:r>
      <w:r w:rsidR="00017C36">
        <w:fldChar w:fldCharType="separate"/>
      </w:r>
      <w:r w:rsidR="00D93D73">
        <w:rPr>
          <w:noProof/>
        </w:rPr>
        <w:t>11</w:t>
      </w:r>
      <w:r w:rsidR="00017C36">
        <w:rPr>
          <w:noProof/>
        </w:rPr>
        <w:fldChar w:fldCharType="end"/>
      </w:r>
      <w:bookmarkEnd w:id="20"/>
      <w:r>
        <w:tab/>
        <w:t>Practice Guidelines:  Role of Patient-administered, Field-based Drug Therapies</w:t>
      </w:r>
    </w:p>
    <w:tbl>
      <w:tblPr>
        <w:tblStyle w:val="TableColumns4"/>
        <w:tblW w:w="0" w:type="auto"/>
        <w:tblLook w:val="04A0" w:firstRow="1" w:lastRow="0" w:firstColumn="1" w:lastColumn="0" w:noHBand="0" w:noVBand="1"/>
      </w:tblPr>
      <w:tblGrid>
        <w:gridCol w:w="2058"/>
        <w:gridCol w:w="222"/>
        <w:gridCol w:w="1124"/>
        <w:gridCol w:w="2937"/>
        <w:gridCol w:w="1856"/>
        <w:gridCol w:w="2099"/>
      </w:tblGrid>
      <w:tr w:rsidR="00397D55" w:rsidRPr="00C46F3A" w:rsidTr="00397D55">
        <w:trPr>
          <w:cnfStyle w:val="100000000000" w:firstRow="1" w:lastRow="0" w:firstColumn="0" w:lastColumn="0" w:oddVBand="0" w:evenVBand="0" w:oddHBand="0" w:evenHBand="0" w:firstRowFirstColumn="0" w:firstRowLastColumn="0" w:lastRowFirstColumn="0" w:lastRowLastColumn="0"/>
          <w:tblHeader/>
        </w:trPr>
        <w:tc>
          <w:tcPr>
            <w:tcW w:w="0" w:type="auto"/>
            <w:vAlign w:val="bottom"/>
          </w:tcPr>
          <w:p w:rsidR="00397D55" w:rsidRPr="00C46F3A" w:rsidRDefault="00397D55" w:rsidP="007708B7">
            <w:pPr>
              <w:pStyle w:val="Table"/>
              <w:keepNext/>
              <w:rPr>
                <w:color w:val="FFFFFF" w:themeColor="background1"/>
              </w:rPr>
            </w:pPr>
            <w:r>
              <w:rPr>
                <w:color w:val="FFFFFF" w:themeColor="background1"/>
              </w:rPr>
              <w:t xml:space="preserve"> Topic</w:t>
            </w:r>
          </w:p>
        </w:tc>
        <w:tc>
          <w:tcPr>
            <w:tcW w:w="0" w:type="auto"/>
            <w:vAlign w:val="bottom"/>
          </w:tcPr>
          <w:p w:rsidR="00397D55" w:rsidRPr="00C46F3A" w:rsidRDefault="00397D55" w:rsidP="007708B7">
            <w:pPr>
              <w:pStyle w:val="Table"/>
              <w:keepNext/>
              <w:rPr>
                <w:color w:val="FFFFFF" w:themeColor="background1"/>
              </w:rPr>
            </w:pPr>
          </w:p>
        </w:tc>
        <w:tc>
          <w:tcPr>
            <w:tcW w:w="0" w:type="auto"/>
            <w:vAlign w:val="bottom"/>
          </w:tcPr>
          <w:p w:rsidR="00397D55" w:rsidRDefault="00397D55" w:rsidP="007708B7">
            <w:pPr>
              <w:pStyle w:val="Table"/>
              <w:keepNext/>
              <w:rPr>
                <w:color w:val="FFFFFF" w:themeColor="background1"/>
              </w:rPr>
            </w:pPr>
            <w:r>
              <w:rPr>
                <w:color w:val="FFFFFF" w:themeColor="background1"/>
              </w:rPr>
              <w:t>Diclofenac</w:t>
            </w:r>
          </w:p>
        </w:tc>
        <w:tc>
          <w:tcPr>
            <w:tcW w:w="0" w:type="auto"/>
            <w:vAlign w:val="bottom"/>
          </w:tcPr>
          <w:p w:rsidR="00397D55" w:rsidRDefault="00397D55" w:rsidP="007708B7">
            <w:pPr>
              <w:pStyle w:val="Table"/>
              <w:keepNext/>
              <w:rPr>
                <w:color w:val="FFFFFF" w:themeColor="background1"/>
              </w:rPr>
            </w:pPr>
            <w:r>
              <w:rPr>
                <w:color w:val="FFFFFF" w:themeColor="background1"/>
              </w:rPr>
              <w:t>5FU</w:t>
            </w:r>
          </w:p>
        </w:tc>
        <w:tc>
          <w:tcPr>
            <w:tcW w:w="0" w:type="auto"/>
            <w:vAlign w:val="bottom"/>
          </w:tcPr>
          <w:p w:rsidR="00397D55" w:rsidRDefault="00397D55" w:rsidP="007708B7">
            <w:pPr>
              <w:pStyle w:val="Table"/>
              <w:keepNext/>
              <w:rPr>
                <w:color w:val="FFFFFF" w:themeColor="background1"/>
              </w:rPr>
            </w:pPr>
            <w:proofErr w:type="spellStart"/>
            <w:r>
              <w:rPr>
                <w:color w:val="FFFFFF" w:themeColor="background1"/>
              </w:rPr>
              <w:t>Imiquimod</w:t>
            </w:r>
            <w:proofErr w:type="spellEnd"/>
          </w:p>
        </w:tc>
        <w:tc>
          <w:tcPr>
            <w:tcW w:w="0" w:type="auto"/>
            <w:vAlign w:val="bottom"/>
          </w:tcPr>
          <w:p w:rsidR="00397D55" w:rsidRPr="00C46F3A" w:rsidRDefault="00397D55" w:rsidP="007708B7">
            <w:pPr>
              <w:pStyle w:val="Table"/>
              <w:keepNext/>
              <w:rPr>
                <w:color w:val="FFFFFF" w:themeColor="background1"/>
              </w:rPr>
            </w:pPr>
            <w:proofErr w:type="spellStart"/>
            <w:r>
              <w:rPr>
                <w:color w:val="FFFFFF" w:themeColor="background1"/>
              </w:rPr>
              <w:t>Retinoids</w:t>
            </w:r>
            <w:proofErr w:type="spellEnd"/>
          </w:p>
        </w:tc>
      </w:tr>
      <w:tr w:rsidR="00A74052" w:rsidTr="00397D55">
        <w:tc>
          <w:tcPr>
            <w:tcW w:w="0" w:type="auto"/>
            <w:gridSpan w:val="6"/>
            <w:shd w:val="clear" w:color="auto" w:fill="D9D9D9" w:themeFill="background1" w:themeFillShade="D9"/>
          </w:tcPr>
          <w:p w:rsidR="00A74052" w:rsidRDefault="00A74052" w:rsidP="007708B7">
            <w:pPr>
              <w:pStyle w:val="Table"/>
              <w:keepNext/>
            </w:pPr>
            <w:r w:rsidRPr="0021604B">
              <w:rPr>
                <w:b/>
              </w:rPr>
              <w:t>European Skin Academy</w:t>
            </w:r>
            <w:r>
              <w:rPr>
                <w:b/>
              </w:rPr>
              <w:t xml:space="preserve"> (2008)</w:t>
            </w:r>
            <w:r>
              <w:rPr>
                <w:rStyle w:val="EndnoteReference"/>
                <w:b/>
              </w:rPr>
              <w:endnoteReference w:id="24"/>
            </w:r>
            <w:r w:rsidRPr="0021604B">
              <w:t>.</w:t>
            </w:r>
            <w:r>
              <w:t xml:space="preserve"> Consensus opinion, best practices</w:t>
            </w:r>
          </w:p>
        </w:tc>
      </w:tr>
      <w:tr w:rsidR="00397D55" w:rsidTr="00397D55">
        <w:tc>
          <w:tcPr>
            <w:tcW w:w="0" w:type="auto"/>
          </w:tcPr>
          <w:p w:rsidR="00397D55" w:rsidRDefault="00397D55" w:rsidP="007708B7">
            <w:pPr>
              <w:pStyle w:val="Table"/>
              <w:keepNext/>
            </w:pPr>
            <w:r>
              <w:t>Complete Clinical Clearance Rate (</w:t>
            </w:r>
            <w:proofErr w:type="spellStart"/>
            <w:r>
              <w:t>Tx</w:t>
            </w:r>
            <w:proofErr w:type="spellEnd"/>
            <w:r>
              <w:t xml:space="preserve"> Duration, d)</w:t>
            </w:r>
          </w:p>
        </w:tc>
        <w:tc>
          <w:tcPr>
            <w:tcW w:w="0" w:type="auto"/>
          </w:tcPr>
          <w:p w:rsidR="00397D55" w:rsidRDefault="00397D55" w:rsidP="007708B7">
            <w:pPr>
              <w:pStyle w:val="Table"/>
              <w:keepNext/>
            </w:pPr>
          </w:p>
        </w:tc>
        <w:tc>
          <w:tcPr>
            <w:tcW w:w="0" w:type="auto"/>
          </w:tcPr>
          <w:p w:rsidR="00397D55" w:rsidRDefault="00397D55" w:rsidP="007708B7">
            <w:pPr>
              <w:pStyle w:val="Table"/>
              <w:keepNext/>
            </w:pPr>
            <w:r>
              <w:t>50% (90)</w:t>
            </w:r>
          </w:p>
        </w:tc>
        <w:tc>
          <w:tcPr>
            <w:tcW w:w="0" w:type="auto"/>
          </w:tcPr>
          <w:p w:rsidR="00397D55" w:rsidRDefault="00397D55" w:rsidP="007708B7">
            <w:pPr>
              <w:pStyle w:val="Table"/>
              <w:keepNext/>
            </w:pPr>
            <w:r>
              <w:t>50%</w:t>
            </w:r>
          </w:p>
        </w:tc>
        <w:tc>
          <w:tcPr>
            <w:tcW w:w="0" w:type="auto"/>
          </w:tcPr>
          <w:p w:rsidR="00397D55" w:rsidRDefault="00397D55" w:rsidP="007708B7">
            <w:pPr>
              <w:pStyle w:val="Table"/>
              <w:keepNext/>
            </w:pPr>
            <w:r>
              <w:t>84%</w:t>
            </w:r>
          </w:p>
        </w:tc>
        <w:tc>
          <w:tcPr>
            <w:tcW w:w="0" w:type="auto"/>
          </w:tcPr>
          <w:p w:rsidR="00397D55" w:rsidRDefault="00397D55" w:rsidP="007708B7">
            <w:pPr>
              <w:pStyle w:val="Table"/>
              <w:keepNext/>
            </w:pPr>
            <w:r>
              <w:t>Conflicting; some studies show no efficacy</w:t>
            </w:r>
          </w:p>
        </w:tc>
      </w:tr>
      <w:tr w:rsidR="00397D55" w:rsidTr="00397D55">
        <w:tc>
          <w:tcPr>
            <w:tcW w:w="0" w:type="auto"/>
          </w:tcPr>
          <w:p w:rsidR="00397D55" w:rsidRDefault="00397D55" w:rsidP="00A74052">
            <w:pPr>
              <w:pStyle w:val="Table"/>
            </w:pPr>
            <w:r>
              <w:t>Recurrence Rates</w:t>
            </w:r>
          </w:p>
        </w:tc>
        <w:tc>
          <w:tcPr>
            <w:tcW w:w="0" w:type="auto"/>
          </w:tcPr>
          <w:p w:rsidR="00397D55" w:rsidRDefault="00397D55" w:rsidP="00A74052">
            <w:pPr>
              <w:pStyle w:val="Table"/>
            </w:pPr>
          </w:p>
        </w:tc>
        <w:tc>
          <w:tcPr>
            <w:tcW w:w="0" w:type="auto"/>
          </w:tcPr>
          <w:p w:rsidR="00397D55" w:rsidRDefault="00397D55" w:rsidP="00A74052">
            <w:pPr>
              <w:pStyle w:val="Table"/>
            </w:pPr>
            <w:r>
              <w:t>—</w:t>
            </w:r>
          </w:p>
        </w:tc>
        <w:tc>
          <w:tcPr>
            <w:tcW w:w="0" w:type="auto"/>
          </w:tcPr>
          <w:p w:rsidR="00397D55" w:rsidRDefault="00397D55" w:rsidP="00A74052">
            <w:pPr>
              <w:pStyle w:val="Table"/>
            </w:pPr>
            <w:r>
              <w:t>Up to 55% (very high)</w:t>
            </w:r>
          </w:p>
        </w:tc>
        <w:tc>
          <w:tcPr>
            <w:tcW w:w="0" w:type="auto"/>
          </w:tcPr>
          <w:p w:rsidR="00397D55" w:rsidRDefault="00397D55" w:rsidP="00A74052">
            <w:pPr>
              <w:pStyle w:val="Table"/>
            </w:pPr>
            <w:r>
              <w:t>10% in 1 y</w:t>
            </w:r>
          </w:p>
          <w:p w:rsidR="00397D55" w:rsidRDefault="00397D55" w:rsidP="00A74052">
            <w:pPr>
              <w:pStyle w:val="Table"/>
            </w:pPr>
            <w:r>
              <w:t>20% in 2 y</w:t>
            </w:r>
          </w:p>
        </w:tc>
        <w:tc>
          <w:tcPr>
            <w:tcW w:w="0" w:type="auto"/>
          </w:tcPr>
          <w:p w:rsidR="00397D55" w:rsidRDefault="00397D55" w:rsidP="00A74052">
            <w:pPr>
              <w:pStyle w:val="Table"/>
            </w:pPr>
          </w:p>
        </w:tc>
      </w:tr>
      <w:tr w:rsidR="00397D55" w:rsidTr="00397D55">
        <w:tc>
          <w:tcPr>
            <w:tcW w:w="0" w:type="auto"/>
          </w:tcPr>
          <w:p w:rsidR="00397D55" w:rsidRDefault="00397D55" w:rsidP="00A74052">
            <w:pPr>
              <w:pStyle w:val="Table"/>
            </w:pPr>
            <w:r>
              <w:t>Local Adverse Events</w:t>
            </w:r>
          </w:p>
        </w:tc>
        <w:tc>
          <w:tcPr>
            <w:tcW w:w="0" w:type="auto"/>
          </w:tcPr>
          <w:p w:rsidR="00397D55" w:rsidRDefault="00397D55" w:rsidP="00A74052">
            <w:pPr>
              <w:pStyle w:val="Table"/>
            </w:pPr>
          </w:p>
        </w:tc>
        <w:tc>
          <w:tcPr>
            <w:tcW w:w="0" w:type="auto"/>
          </w:tcPr>
          <w:p w:rsidR="00397D55" w:rsidRDefault="00397D55" w:rsidP="00A74052">
            <w:pPr>
              <w:pStyle w:val="Table"/>
            </w:pPr>
            <w:r>
              <w:t>Most mild–moderate; severe inflammation possible</w:t>
            </w:r>
          </w:p>
        </w:tc>
        <w:tc>
          <w:tcPr>
            <w:tcW w:w="0" w:type="auto"/>
          </w:tcPr>
          <w:p w:rsidR="00397D55" w:rsidRDefault="00397D55" w:rsidP="00A74052">
            <w:pPr>
              <w:pStyle w:val="Table"/>
            </w:pPr>
            <w:r>
              <w:t>Severe inflammation, pruritus, pain, erosions, ulceration, infections, scarring (rare)</w:t>
            </w:r>
          </w:p>
        </w:tc>
        <w:tc>
          <w:tcPr>
            <w:tcW w:w="0" w:type="auto"/>
          </w:tcPr>
          <w:p w:rsidR="00397D55" w:rsidRDefault="00397D55" w:rsidP="00A74052">
            <w:pPr>
              <w:pStyle w:val="Table"/>
            </w:pPr>
            <w:r>
              <w:t>Pain, erythema, itching, pruritus</w:t>
            </w:r>
          </w:p>
        </w:tc>
        <w:tc>
          <w:tcPr>
            <w:tcW w:w="0" w:type="auto"/>
          </w:tcPr>
          <w:p w:rsidR="00397D55" w:rsidRDefault="00397D55" w:rsidP="00A74052">
            <w:pPr>
              <w:pStyle w:val="Table"/>
            </w:pPr>
          </w:p>
        </w:tc>
      </w:tr>
      <w:tr w:rsidR="00397D55" w:rsidTr="00397D55">
        <w:tc>
          <w:tcPr>
            <w:tcW w:w="0" w:type="auto"/>
          </w:tcPr>
          <w:p w:rsidR="00397D55" w:rsidRDefault="00397D55" w:rsidP="00A74052">
            <w:pPr>
              <w:pStyle w:val="Table"/>
            </w:pPr>
            <w:r>
              <w:t>Precautions</w:t>
            </w:r>
          </w:p>
        </w:tc>
        <w:tc>
          <w:tcPr>
            <w:tcW w:w="0" w:type="auto"/>
          </w:tcPr>
          <w:p w:rsidR="00397D55" w:rsidRDefault="00397D55" w:rsidP="00A74052">
            <w:pPr>
              <w:pStyle w:val="Table"/>
            </w:pPr>
          </w:p>
        </w:tc>
        <w:tc>
          <w:tcPr>
            <w:tcW w:w="0" w:type="auto"/>
          </w:tcPr>
          <w:p w:rsidR="00397D55" w:rsidRDefault="00397D55" w:rsidP="00A74052">
            <w:pPr>
              <w:pStyle w:val="Table"/>
            </w:pPr>
          </w:p>
        </w:tc>
        <w:tc>
          <w:tcPr>
            <w:tcW w:w="0" w:type="auto"/>
          </w:tcPr>
          <w:p w:rsidR="00397D55" w:rsidRDefault="00397D55" w:rsidP="00A74052">
            <w:pPr>
              <w:pStyle w:val="Table"/>
            </w:pPr>
            <w:r>
              <w:t>Sunlight exposure can intensify AEs</w:t>
            </w:r>
          </w:p>
        </w:tc>
        <w:tc>
          <w:tcPr>
            <w:tcW w:w="0" w:type="auto"/>
          </w:tcPr>
          <w:p w:rsidR="00397D55" w:rsidRDefault="00397D55" w:rsidP="00A74052">
            <w:pPr>
              <w:pStyle w:val="Table"/>
            </w:pPr>
          </w:p>
        </w:tc>
        <w:tc>
          <w:tcPr>
            <w:tcW w:w="0" w:type="auto"/>
          </w:tcPr>
          <w:p w:rsidR="00397D55" w:rsidRDefault="00397D55" w:rsidP="00A74052">
            <w:pPr>
              <w:pStyle w:val="Table"/>
            </w:pPr>
          </w:p>
        </w:tc>
      </w:tr>
      <w:tr w:rsidR="00397D55" w:rsidTr="00397D55">
        <w:tc>
          <w:tcPr>
            <w:tcW w:w="0" w:type="auto"/>
          </w:tcPr>
          <w:p w:rsidR="00397D55" w:rsidRDefault="00397D55" w:rsidP="00A74052">
            <w:pPr>
              <w:pStyle w:val="Table"/>
            </w:pPr>
            <w:r>
              <w:t>Place in Therapy</w:t>
            </w:r>
          </w:p>
        </w:tc>
        <w:tc>
          <w:tcPr>
            <w:tcW w:w="0" w:type="auto"/>
          </w:tcPr>
          <w:p w:rsidR="00397D55" w:rsidRDefault="00397D55" w:rsidP="00A74052">
            <w:pPr>
              <w:pStyle w:val="Table"/>
            </w:pPr>
          </w:p>
        </w:tc>
        <w:tc>
          <w:tcPr>
            <w:tcW w:w="0" w:type="auto"/>
          </w:tcPr>
          <w:p w:rsidR="00397D55" w:rsidRDefault="00397D55" w:rsidP="00A74052">
            <w:pPr>
              <w:pStyle w:val="Table"/>
            </w:pPr>
            <w:r>
              <w:t>First-line alternative</w:t>
            </w:r>
          </w:p>
        </w:tc>
        <w:tc>
          <w:tcPr>
            <w:tcW w:w="0" w:type="auto"/>
          </w:tcPr>
          <w:p w:rsidR="00397D55" w:rsidRDefault="00397D55" w:rsidP="00A74052">
            <w:pPr>
              <w:pStyle w:val="Table"/>
            </w:pPr>
            <w:r>
              <w:t xml:space="preserve">First-line alternative in </w:t>
            </w:r>
            <w:proofErr w:type="spellStart"/>
            <w:r>
              <w:t>tx</w:t>
            </w:r>
            <w:proofErr w:type="spellEnd"/>
            <w:r>
              <w:t xml:space="preserve"> algorithm; however, in the text, the authors noted that 5FU is often used as palliative therapy when no other </w:t>
            </w:r>
            <w:proofErr w:type="spellStart"/>
            <w:r>
              <w:t>tx</w:t>
            </w:r>
            <w:proofErr w:type="spellEnd"/>
            <w:r>
              <w:t xml:space="preserve"> is possible b/o AEs</w:t>
            </w:r>
          </w:p>
        </w:tc>
        <w:tc>
          <w:tcPr>
            <w:tcW w:w="0" w:type="auto"/>
          </w:tcPr>
          <w:p w:rsidR="00397D55" w:rsidRDefault="00397D55" w:rsidP="00A74052">
            <w:pPr>
              <w:pStyle w:val="Table"/>
            </w:pPr>
            <w:r>
              <w:t>First-line alternative</w:t>
            </w:r>
          </w:p>
        </w:tc>
        <w:tc>
          <w:tcPr>
            <w:tcW w:w="0" w:type="auto"/>
          </w:tcPr>
          <w:p w:rsidR="00397D55" w:rsidRDefault="00397D55" w:rsidP="00A74052">
            <w:pPr>
              <w:pStyle w:val="Table"/>
            </w:pPr>
            <w:r>
              <w:t xml:space="preserve">Second-line, after diclofenac 3% gel, </w:t>
            </w:r>
            <w:proofErr w:type="spellStart"/>
            <w:r>
              <w:t>imiquimod</w:t>
            </w:r>
            <w:proofErr w:type="spellEnd"/>
            <w:r>
              <w:t>, PDT, 5FU (all + sun protection)</w:t>
            </w:r>
          </w:p>
        </w:tc>
      </w:tr>
      <w:tr w:rsidR="00397D55" w:rsidTr="00397D55">
        <w:tc>
          <w:tcPr>
            <w:tcW w:w="0" w:type="auto"/>
          </w:tcPr>
          <w:p w:rsidR="00397D55" w:rsidRDefault="00397D55" w:rsidP="00A74052">
            <w:pPr>
              <w:pStyle w:val="Table"/>
            </w:pPr>
            <w:r>
              <w:t>Other Considerations</w:t>
            </w:r>
          </w:p>
        </w:tc>
        <w:tc>
          <w:tcPr>
            <w:tcW w:w="0" w:type="auto"/>
          </w:tcPr>
          <w:p w:rsidR="00397D55" w:rsidRDefault="00397D55" w:rsidP="00A74052">
            <w:pPr>
              <w:pStyle w:val="Table"/>
            </w:pPr>
          </w:p>
        </w:tc>
        <w:tc>
          <w:tcPr>
            <w:tcW w:w="0" w:type="auto"/>
          </w:tcPr>
          <w:p w:rsidR="00397D55" w:rsidRDefault="00397D55" w:rsidP="00A74052">
            <w:pPr>
              <w:pStyle w:val="Table"/>
            </w:pPr>
          </w:p>
        </w:tc>
        <w:tc>
          <w:tcPr>
            <w:tcW w:w="0" w:type="auto"/>
          </w:tcPr>
          <w:p w:rsidR="00397D55" w:rsidRDefault="00397D55" w:rsidP="00A74052">
            <w:pPr>
              <w:pStyle w:val="Table"/>
            </w:pPr>
            <w:r>
              <w:t xml:space="preserve">Intermittent “pulse” </w:t>
            </w:r>
            <w:proofErr w:type="spellStart"/>
            <w:r>
              <w:t>tx</w:t>
            </w:r>
            <w:proofErr w:type="spellEnd"/>
            <w:r>
              <w:t xml:space="preserve"> can reduce severe AEs</w:t>
            </w:r>
          </w:p>
        </w:tc>
        <w:tc>
          <w:tcPr>
            <w:tcW w:w="0" w:type="auto"/>
          </w:tcPr>
          <w:p w:rsidR="00397D55" w:rsidRDefault="00397D55" w:rsidP="00A74052">
            <w:pPr>
              <w:pStyle w:val="Table"/>
            </w:pPr>
            <w:r>
              <w:t xml:space="preserve">Clearance of AK is more common in </w:t>
            </w:r>
            <w:proofErr w:type="spellStart"/>
            <w:r>
              <w:t>pts</w:t>
            </w:r>
            <w:proofErr w:type="spellEnd"/>
            <w:r>
              <w:t xml:space="preserve"> who experience severe local reactions.</w:t>
            </w:r>
          </w:p>
          <w:p w:rsidR="00397D55" w:rsidRDefault="00397D55" w:rsidP="00A74052">
            <w:pPr>
              <w:pStyle w:val="Table"/>
            </w:pPr>
          </w:p>
        </w:tc>
        <w:tc>
          <w:tcPr>
            <w:tcW w:w="0" w:type="auto"/>
          </w:tcPr>
          <w:p w:rsidR="00397D55" w:rsidRDefault="00397D55" w:rsidP="00A74052">
            <w:pPr>
              <w:pStyle w:val="Table"/>
            </w:pPr>
            <w:r>
              <w:t>Counteracts vitamin A deficiency induced by UV.</w:t>
            </w:r>
          </w:p>
          <w:p w:rsidR="00397D55" w:rsidRDefault="00397D55" w:rsidP="00A74052">
            <w:pPr>
              <w:pStyle w:val="Table"/>
            </w:pPr>
            <w:r>
              <w:t xml:space="preserve">May decrease </w:t>
            </w:r>
            <w:proofErr w:type="spellStart"/>
            <w:r>
              <w:t>photodamaged</w:t>
            </w:r>
            <w:proofErr w:type="spellEnd"/>
            <w:r>
              <w:t xml:space="preserve"> cells.</w:t>
            </w:r>
          </w:p>
        </w:tc>
      </w:tr>
      <w:tr w:rsidR="00AE40EE" w:rsidTr="00397D55">
        <w:tc>
          <w:tcPr>
            <w:tcW w:w="0" w:type="auto"/>
            <w:gridSpan w:val="6"/>
            <w:shd w:val="clear" w:color="auto" w:fill="D9D9D9" w:themeFill="background1" w:themeFillShade="D9"/>
          </w:tcPr>
          <w:p w:rsidR="00AE40EE" w:rsidRPr="00AE40EE" w:rsidRDefault="00AE40EE" w:rsidP="00A74052">
            <w:pPr>
              <w:pStyle w:val="Table"/>
              <w:rPr>
                <w:b/>
              </w:rPr>
            </w:pPr>
            <w:r w:rsidRPr="00AE40EE">
              <w:rPr>
                <w:b/>
              </w:rPr>
              <w:t>Swiss Clinical Practice Guidelines for Skin Cancer in Organ Transplant Recipients</w:t>
            </w:r>
            <w:r w:rsidRPr="00AE40EE">
              <w:rPr>
                <w:rStyle w:val="EndnoteReference"/>
                <w:b/>
              </w:rPr>
              <w:endnoteReference w:id="25"/>
            </w:r>
          </w:p>
        </w:tc>
      </w:tr>
      <w:tr w:rsidR="006926E5" w:rsidTr="00C40DD9">
        <w:tc>
          <w:tcPr>
            <w:tcW w:w="0" w:type="auto"/>
          </w:tcPr>
          <w:p w:rsidR="006926E5" w:rsidRDefault="006926E5" w:rsidP="00A74052">
            <w:pPr>
              <w:pStyle w:val="Table"/>
            </w:pPr>
            <w:r>
              <w:t xml:space="preserve">Treat in-situ SCC (actinic keratosis, Bowen’s disease) and field </w:t>
            </w:r>
            <w:proofErr w:type="spellStart"/>
            <w:r>
              <w:t>cancerisation</w:t>
            </w:r>
            <w:proofErr w:type="spellEnd"/>
          </w:p>
        </w:tc>
        <w:tc>
          <w:tcPr>
            <w:tcW w:w="0" w:type="auto"/>
          </w:tcPr>
          <w:p w:rsidR="006926E5" w:rsidRDefault="006926E5" w:rsidP="00A74052">
            <w:pPr>
              <w:pStyle w:val="Table"/>
            </w:pPr>
          </w:p>
        </w:tc>
        <w:tc>
          <w:tcPr>
            <w:tcW w:w="1124" w:type="dxa"/>
          </w:tcPr>
          <w:p w:rsidR="006926E5" w:rsidRDefault="006926E5" w:rsidP="00A74052">
            <w:pPr>
              <w:pStyle w:val="Table"/>
            </w:pPr>
            <w:r>
              <w:t>—</w:t>
            </w:r>
          </w:p>
        </w:tc>
        <w:tc>
          <w:tcPr>
            <w:tcW w:w="7666" w:type="dxa"/>
            <w:gridSpan w:val="3"/>
          </w:tcPr>
          <w:p w:rsidR="006926E5" w:rsidRDefault="006926E5" w:rsidP="00C40DD9">
            <w:pPr>
              <w:pStyle w:val="Table"/>
              <w:jc w:val="center"/>
            </w:pPr>
            <w:r>
              <w:t>Effective; none of the</w:t>
            </w:r>
            <w:r w:rsidR="00C40DD9">
              <w:t>se 3</w:t>
            </w:r>
            <w:r>
              <w:t xml:space="preserve"> topical treatments </w:t>
            </w:r>
            <w:r w:rsidR="00C40DD9">
              <w:br/>
              <w:t xml:space="preserve">(5FU, </w:t>
            </w:r>
            <w:proofErr w:type="spellStart"/>
            <w:r w:rsidR="00C40DD9">
              <w:t>imiquimod</w:t>
            </w:r>
            <w:proofErr w:type="spellEnd"/>
            <w:r w:rsidR="00C40DD9">
              <w:t xml:space="preserve">, </w:t>
            </w:r>
            <w:proofErr w:type="spellStart"/>
            <w:r w:rsidR="00C40DD9">
              <w:t>retinoids</w:t>
            </w:r>
            <w:proofErr w:type="spellEnd"/>
            <w:r w:rsidR="00C40DD9">
              <w:t xml:space="preserve">) </w:t>
            </w:r>
            <w:r>
              <w:t>is distinguished as being best</w:t>
            </w:r>
          </w:p>
        </w:tc>
      </w:tr>
    </w:tbl>
    <w:p w:rsidR="00537E8D" w:rsidRPr="00D93D73" w:rsidRDefault="00537E8D" w:rsidP="00D93D73">
      <w:pPr>
        <w:pStyle w:val="Heading1"/>
      </w:pPr>
      <w:r w:rsidRPr="00D93D73">
        <w:t>Conclusions</w:t>
      </w:r>
    </w:p>
    <w:p w:rsidR="00537E8D" w:rsidRDefault="00CC61FA" w:rsidP="002F438F">
      <w:pPr>
        <w:rPr>
          <w:color w:val="000000"/>
        </w:rPr>
      </w:pPr>
      <w:bookmarkStart w:id="21" w:name="Conclusions"/>
      <w:proofErr w:type="spellStart"/>
      <w:r>
        <w:t>Ingenol</w:t>
      </w:r>
      <w:proofErr w:type="spellEnd"/>
      <w:r>
        <w:t xml:space="preserve"> </w:t>
      </w:r>
      <w:proofErr w:type="spellStart"/>
      <w:r>
        <w:t>mebutate</w:t>
      </w:r>
      <w:proofErr w:type="spellEnd"/>
      <w:r>
        <w:t xml:space="preserve"> is</w:t>
      </w:r>
      <w:r w:rsidR="006F70C0">
        <w:t xml:space="preserve"> a</w:t>
      </w:r>
      <w:r>
        <w:t xml:space="preserve"> safe, well tolerated</w:t>
      </w:r>
      <w:r w:rsidR="002F438F">
        <w:t>, cosmetically acceptable</w:t>
      </w:r>
      <w:r>
        <w:t xml:space="preserve"> and efficacious</w:t>
      </w:r>
      <w:r w:rsidR="00926775">
        <w:t xml:space="preserve"> </w:t>
      </w:r>
      <w:r w:rsidR="00D92732">
        <w:t xml:space="preserve">short-duration treatment </w:t>
      </w:r>
      <w:r w:rsidR="00926775">
        <w:t>alternative to other</w:t>
      </w:r>
      <w:r>
        <w:t xml:space="preserve"> </w:t>
      </w:r>
      <w:r w:rsidR="006F70C0">
        <w:t xml:space="preserve">topical field-based </w:t>
      </w:r>
      <w:r w:rsidR="00055425">
        <w:t>pharmacotherap</w:t>
      </w:r>
      <w:r w:rsidR="00926775">
        <w:t>ies</w:t>
      </w:r>
      <w:r w:rsidR="006F70C0">
        <w:t xml:space="preserve"> for </w:t>
      </w:r>
      <w:proofErr w:type="spellStart"/>
      <w:r w:rsidR="006F70C0">
        <w:t>nonhypertrophic</w:t>
      </w:r>
      <w:proofErr w:type="spellEnd"/>
      <w:r w:rsidR="006F70C0">
        <w:t xml:space="preserve">, </w:t>
      </w:r>
      <w:proofErr w:type="spellStart"/>
      <w:r w:rsidR="006F70C0">
        <w:t>nonhyperkeratotic</w:t>
      </w:r>
      <w:proofErr w:type="spellEnd"/>
      <w:r>
        <w:t xml:space="preserve"> AK</w:t>
      </w:r>
      <w:r w:rsidR="00504154">
        <w:t xml:space="preserve"> in </w:t>
      </w:r>
      <w:proofErr w:type="spellStart"/>
      <w:r w:rsidR="00504154">
        <w:t>immunocompetent</w:t>
      </w:r>
      <w:proofErr w:type="spellEnd"/>
      <w:r w:rsidR="00504154">
        <w:t xml:space="preserve"> individuals</w:t>
      </w:r>
      <w:r w:rsidR="00537E8D">
        <w:t>.</w:t>
      </w:r>
      <w:r>
        <w:t xml:space="preserve"> </w:t>
      </w:r>
      <w:r w:rsidR="00AB7735">
        <w:t>The main advantage</w:t>
      </w:r>
      <w:r w:rsidR="00D86860">
        <w:t>s</w:t>
      </w:r>
      <w:r w:rsidR="00AB7735">
        <w:t xml:space="preserve"> of </w:t>
      </w:r>
      <w:proofErr w:type="spellStart"/>
      <w:r w:rsidR="00B03C7B">
        <w:t>ingenol</w:t>
      </w:r>
      <w:proofErr w:type="spellEnd"/>
      <w:r w:rsidR="00B03C7B">
        <w:t xml:space="preserve"> </w:t>
      </w:r>
      <w:proofErr w:type="spellStart"/>
      <w:r w:rsidR="00B03C7B">
        <w:t>mebutate</w:t>
      </w:r>
      <w:proofErr w:type="spellEnd"/>
      <w:r w:rsidR="00AB7735">
        <w:t xml:space="preserve"> </w:t>
      </w:r>
      <w:r w:rsidR="007708B7">
        <w:t xml:space="preserve">relative to other topical pharmacotherapies </w:t>
      </w:r>
      <w:r w:rsidR="00D86860">
        <w:t>are</w:t>
      </w:r>
      <w:r w:rsidR="00AB7735">
        <w:t xml:space="preserve"> that it achieves similar complete clearance rates using</w:t>
      </w:r>
      <w:r>
        <w:t xml:space="preserve"> a much shorter treatment duration</w:t>
      </w:r>
      <w:r w:rsidR="00D86860">
        <w:t>,</w:t>
      </w:r>
      <w:r>
        <w:t xml:space="preserve"> </w:t>
      </w:r>
      <w:r w:rsidR="00D86860">
        <w:t xml:space="preserve">and the overall course of therapy, from start of treatment to recovery from local skin reactions, </w:t>
      </w:r>
      <w:r w:rsidR="00397D55">
        <w:t>may be</w:t>
      </w:r>
      <w:r w:rsidR="00D86860">
        <w:t xml:space="preserve"> shorter than the actual treatment period</w:t>
      </w:r>
      <w:r w:rsidR="002F438F">
        <w:t xml:space="preserve"> alone</w:t>
      </w:r>
      <w:r w:rsidR="00D86860">
        <w:t xml:space="preserve"> (excluding recovery time) for other topical pharmacotherapies. Patient adherence to therapy may be better with </w:t>
      </w:r>
      <w:proofErr w:type="spellStart"/>
      <w:r w:rsidR="00D86860">
        <w:t>ingenol</w:t>
      </w:r>
      <w:proofErr w:type="spellEnd"/>
      <w:r w:rsidR="00D86860">
        <w:t xml:space="preserve"> </w:t>
      </w:r>
      <w:proofErr w:type="spellStart"/>
      <w:r w:rsidR="00D86860">
        <w:t>mebutate</w:t>
      </w:r>
      <w:proofErr w:type="spellEnd"/>
      <w:r w:rsidR="00D86860">
        <w:t xml:space="preserve"> than other topical drug therapies because of the simpler and shorter dosage regimen; however, this potential advantage has not been evaluated in head-to-head trials. </w:t>
      </w:r>
      <w:r w:rsidR="00397D55">
        <w:t>The drug’s relative e</w:t>
      </w:r>
      <w:r w:rsidR="00727092">
        <w:t xml:space="preserve">fficacy and safety in immunocompromised patients, </w:t>
      </w:r>
      <w:r w:rsidR="00374D1B">
        <w:t xml:space="preserve">long-term (&gt; 1 year) </w:t>
      </w:r>
      <w:r w:rsidR="00FD0F9F">
        <w:t>durability</w:t>
      </w:r>
      <w:r w:rsidR="009A12DA">
        <w:t xml:space="preserve"> of effects,</w:t>
      </w:r>
      <w:r w:rsidR="00FD0F9F">
        <w:t xml:space="preserve"> recurrence</w:t>
      </w:r>
      <w:r w:rsidR="009A12DA">
        <w:t xml:space="preserve"> rates</w:t>
      </w:r>
      <w:r w:rsidR="00FD0F9F">
        <w:t xml:space="preserve"> and safety</w:t>
      </w:r>
      <w:r w:rsidR="006F70C0">
        <w:t>, and use in combination with other drug and nondrug field-based therapies</w:t>
      </w:r>
      <w:r w:rsidR="00AB7735">
        <w:t xml:space="preserve"> have not been adequately evaluated. </w:t>
      </w:r>
      <w:r w:rsidR="006F70C0">
        <w:t xml:space="preserve">Its </w:t>
      </w:r>
      <w:r w:rsidR="00D86860">
        <w:t>unique dual</w:t>
      </w:r>
      <w:r w:rsidR="006F70C0">
        <w:t xml:space="preserve"> mechanism of action may justify a trial of </w:t>
      </w:r>
      <w:proofErr w:type="spellStart"/>
      <w:r w:rsidR="00B03C7B">
        <w:t>ingenol</w:t>
      </w:r>
      <w:proofErr w:type="spellEnd"/>
      <w:r w:rsidR="00B03C7B">
        <w:t xml:space="preserve"> </w:t>
      </w:r>
      <w:proofErr w:type="spellStart"/>
      <w:r w:rsidR="00B03C7B">
        <w:t>mebutate</w:t>
      </w:r>
      <w:proofErr w:type="spellEnd"/>
      <w:r w:rsidR="006F70C0">
        <w:t xml:space="preserve"> in patients who inadequately respond to other topical therapies; however, the efficacy of </w:t>
      </w:r>
      <w:proofErr w:type="spellStart"/>
      <w:r w:rsidR="00B03C7B">
        <w:t>ingenol</w:t>
      </w:r>
      <w:proofErr w:type="spellEnd"/>
      <w:r w:rsidR="00B03C7B">
        <w:t xml:space="preserve"> </w:t>
      </w:r>
      <w:proofErr w:type="spellStart"/>
      <w:r w:rsidR="00B03C7B">
        <w:t>mebutate</w:t>
      </w:r>
      <w:proofErr w:type="spellEnd"/>
      <w:r w:rsidR="006F70C0">
        <w:t xml:space="preserve"> in recalcitrant AK has not been evaluated. </w:t>
      </w:r>
      <w:bookmarkEnd w:id="21"/>
    </w:p>
    <w:p w:rsidR="003D09B2" w:rsidRDefault="003D09B2" w:rsidP="003D09B2">
      <w:pPr>
        <w:pStyle w:val="Heading1"/>
      </w:pPr>
      <w:r>
        <w:br w:type="page"/>
        <w:t>References</w:t>
      </w:r>
    </w:p>
    <w:p w:rsidR="003D09B2" w:rsidRDefault="003D09B2"/>
    <w:p w:rsidR="00C9327F" w:rsidRDefault="00C9327F">
      <w:pPr>
        <w:rPr>
          <w:bCs/>
          <w:color w:val="000000"/>
        </w:rPr>
        <w:sectPr w:rsidR="00C9327F" w:rsidSect="00017C36">
          <w:headerReference w:type="default" r:id="rId10"/>
          <w:footerReference w:type="default" r:id="rId11"/>
          <w:endnotePr>
            <w:numFmt w:val="decimal"/>
          </w:endnotePr>
          <w:pgSz w:w="12240" w:h="15840"/>
          <w:pgMar w:top="1440" w:right="1080" w:bottom="1440" w:left="1080" w:header="720" w:footer="606" w:gutter="0"/>
          <w:cols w:space="720"/>
          <w:titlePg/>
          <w:docGrid w:linePitch="299"/>
        </w:sectPr>
      </w:pPr>
    </w:p>
    <w:p w:rsidR="00537E8D" w:rsidRDefault="00537E8D" w:rsidP="00055425">
      <w:pPr>
        <w:ind w:left="-720" w:right="-720"/>
        <w:rPr>
          <w:bCs/>
          <w:color w:val="000000"/>
        </w:rPr>
      </w:pPr>
    </w:p>
    <w:p w:rsidR="00537E8D" w:rsidRDefault="00537E8D" w:rsidP="00055425">
      <w:pPr>
        <w:pStyle w:val="FootnoteText"/>
        <w:ind w:left="-720" w:right="-720"/>
        <w:rPr>
          <w:rFonts w:ascii="Arial" w:hAnsi="Arial"/>
          <w:color w:val="000000"/>
        </w:rPr>
      </w:pPr>
    </w:p>
    <w:p w:rsidR="00C9327F" w:rsidRDefault="00C9327F" w:rsidP="00055425">
      <w:pPr>
        <w:pStyle w:val="FootnoteText"/>
        <w:ind w:left="-720" w:right="-720"/>
        <w:rPr>
          <w:rFonts w:ascii="Arial" w:hAnsi="Arial"/>
          <w:color w:val="000000"/>
        </w:rPr>
      </w:pPr>
    </w:p>
    <w:p w:rsidR="00C9327F" w:rsidRDefault="00C9327F" w:rsidP="00055425">
      <w:pPr>
        <w:pStyle w:val="FootnoteText"/>
        <w:ind w:left="-720" w:right="-720"/>
        <w:rPr>
          <w:rFonts w:ascii="Arial" w:hAnsi="Arial"/>
          <w:color w:val="000000"/>
        </w:rPr>
        <w:sectPr w:rsidR="00C9327F" w:rsidSect="00C9327F">
          <w:endnotePr>
            <w:numFmt w:val="decimal"/>
          </w:endnotePr>
          <w:type w:val="continuous"/>
          <w:pgSz w:w="12240" w:h="15840"/>
          <w:pgMar w:top="1440" w:right="1800" w:bottom="1440" w:left="1800" w:header="720" w:footer="606" w:gutter="0"/>
          <w:cols w:space="720"/>
        </w:sectPr>
      </w:pPr>
    </w:p>
    <w:p w:rsidR="00055425" w:rsidRDefault="00537E8D" w:rsidP="00055425">
      <w:pPr>
        <w:pStyle w:val="FootnoteText"/>
        <w:pBdr>
          <w:top w:val="single" w:sz="4" w:space="1" w:color="auto"/>
          <w:bottom w:val="single" w:sz="4" w:space="1" w:color="auto"/>
        </w:pBdr>
        <w:ind w:left="-720" w:right="-720"/>
        <w:rPr>
          <w:rFonts w:ascii="Arial" w:hAnsi="Arial"/>
          <w:b/>
          <w:color w:val="000000"/>
        </w:rPr>
      </w:pPr>
      <w:proofErr w:type="gramStart"/>
      <w:r>
        <w:rPr>
          <w:rFonts w:ascii="Arial" w:hAnsi="Arial"/>
          <w:b/>
          <w:color w:val="000000"/>
        </w:rPr>
        <w:t xml:space="preserve">Prepared </w:t>
      </w:r>
      <w:r w:rsidR="00017C36">
        <w:rPr>
          <w:rFonts w:ascii="Arial" w:hAnsi="Arial"/>
          <w:b/>
          <w:color w:val="000000"/>
        </w:rPr>
        <w:t>April</w:t>
      </w:r>
      <w:r w:rsidR="00055425">
        <w:rPr>
          <w:rFonts w:ascii="Arial" w:hAnsi="Arial"/>
          <w:b/>
          <w:color w:val="000000"/>
        </w:rPr>
        <w:t xml:space="preserve"> 2014</w:t>
      </w:r>
      <w:r>
        <w:rPr>
          <w:rFonts w:ascii="Arial" w:hAnsi="Arial"/>
          <w:b/>
          <w:color w:val="000000"/>
        </w:rPr>
        <w:t>.</w:t>
      </w:r>
      <w:proofErr w:type="gramEnd"/>
      <w:r>
        <w:rPr>
          <w:rFonts w:ascii="Arial" w:hAnsi="Arial"/>
          <w:b/>
          <w:color w:val="000000"/>
        </w:rPr>
        <w:t xml:space="preserve"> </w:t>
      </w:r>
    </w:p>
    <w:p w:rsidR="00537E8D" w:rsidRDefault="00537E8D" w:rsidP="00055425">
      <w:pPr>
        <w:pStyle w:val="FootnoteText"/>
        <w:pBdr>
          <w:top w:val="single" w:sz="4" w:space="1" w:color="auto"/>
          <w:bottom w:val="single" w:sz="4" w:space="1" w:color="auto"/>
        </w:pBdr>
        <w:ind w:left="-720" w:right="-720"/>
        <w:rPr>
          <w:rFonts w:ascii="Arial" w:hAnsi="Arial"/>
          <w:b/>
          <w:color w:val="000000"/>
        </w:rPr>
      </w:pPr>
      <w:r>
        <w:rPr>
          <w:rFonts w:ascii="Arial" w:hAnsi="Arial"/>
          <w:b/>
          <w:color w:val="000000"/>
        </w:rPr>
        <w:t xml:space="preserve">Contact person: </w:t>
      </w:r>
      <w:r w:rsidR="00055425">
        <w:rPr>
          <w:rFonts w:ascii="Arial" w:hAnsi="Arial"/>
          <w:b/>
          <w:color w:val="000000"/>
        </w:rPr>
        <w:t xml:space="preserve"> Francine Goodman, </w:t>
      </w:r>
      <w:proofErr w:type="spellStart"/>
      <w:r w:rsidR="00055425">
        <w:rPr>
          <w:rFonts w:ascii="Arial" w:hAnsi="Arial"/>
          <w:b/>
          <w:color w:val="000000"/>
        </w:rPr>
        <w:t>PharmD</w:t>
      </w:r>
      <w:proofErr w:type="spellEnd"/>
      <w:r w:rsidR="00055425">
        <w:rPr>
          <w:rFonts w:ascii="Arial" w:hAnsi="Arial"/>
          <w:b/>
          <w:color w:val="000000"/>
        </w:rPr>
        <w:t xml:space="preserve">, BCPS, National </w:t>
      </w:r>
      <w:r w:rsidR="00397D55">
        <w:rPr>
          <w:rFonts w:ascii="Arial" w:hAnsi="Arial"/>
          <w:b/>
          <w:color w:val="000000"/>
        </w:rPr>
        <w:t xml:space="preserve">PBM </w:t>
      </w:r>
      <w:r w:rsidR="00055425">
        <w:rPr>
          <w:rFonts w:ascii="Arial" w:hAnsi="Arial"/>
          <w:b/>
          <w:color w:val="000000"/>
        </w:rPr>
        <w:t xml:space="preserve">Clinical Pharmacy Program Manager, </w:t>
      </w:r>
      <w:proofErr w:type="gramStart"/>
      <w:r w:rsidR="00055425">
        <w:rPr>
          <w:rFonts w:ascii="Arial" w:hAnsi="Arial"/>
          <w:b/>
          <w:color w:val="000000"/>
        </w:rPr>
        <w:t>PBM</w:t>
      </w:r>
      <w:proofErr w:type="gramEnd"/>
      <w:r w:rsidR="00055425">
        <w:rPr>
          <w:rFonts w:ascii="Arial" w:hAnsi="Arial"/>
          <w:b/>
          <w:color w:val="000000"/>
        </w:rPr>
        <w:t xml:space="preserve"> Services (10P4P)</w:t>
      </w:r>
    </w:p>
    <w:p w:rsidR="00537E8D" w:rsidRDefault="00537E8D" w:rsidP="00055425">
      <w:pPr>
        <w:ind w:left="-720" w:right="-720"/>
      </w:pPr>
    </w:p>
    <w:p w:rsidR="00397D55" w:rsidRPr="00397D55" w:rsidRDefault="00397D55" w:rsidP="00397D55">
      <w:pPr>
        <w:ind w:left="-720" w:right="-720"/>
        <w:rPr>
          <w:b/>
          <w:u w:val="single"/>
        </w:rPr>
      </w:pPr>
    </w:p>
    <w:p w:rsidR="00397D55" w:rsidRPr="00397D55" w:rsidRDefault="00397D55" w:rsidP="00397D55">
      <w:pPr>
        <w:ind w:left="-720" w:right="-720"/>
      </w:pPr>
    </w:p>
    <w:p w:rsidR="00397D55" w:rsidRPr="00397D55" w:rsidRDefault="00397D55" w:rsidP="00397D55">
      <w:pPr>
        <w:ind w:left="-720" w:right="-720"/>
      </w:pPr>
    </w:p>
    <w:p w:rsidR="00537E8D" w:rsidRDefault="00537E8D" w:rsidP="00055425">
      <w:pPr>
        <w:ind w:left="-720" w:right="-720"/>
      </w:pPr>
    </w:p>
    <w:p w:rsidR="00537E8D" w:rsidRDefault="00537E8D" w:rsidP="00055425">
      <w:pPr>
        <w:ind w:left="-720" w:right="-720"/>
        <w:rPr>
          <w:u w:val="single"/>
        </w:rPr>
      </w:pPr>
    </w:p>
    <w:sectPr w:rsidR="00537E8D" w:rsidSect="00017C36">
      <w:headerReference w:type="even" r:id="rId12"/>
      <w:headerReference w:type="default" r:id="rId13"/>
      <w:footerReference w:type="default" r:id="rId14"/>
      <w:headerReference w:type="first" r:id="rId15"/>
      <w:type w:val="continuous"/>
      <w:pgSz w:w="12240" w:h="15840"/>
      <w:pgMar w:top="1440" w:right="1800" w:bottom="1440" w:left="1800" w:header="720" w:footer="6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9B5" w:rsidRDefault="00AA19B5">
      <w:r>
        <w:separator/>
      </w:r>
    </w:p>
  </w:endnote>
  <w:endnote w:type="continuationSeparator" w:id="0">
    <w:p w:rsidR="00AA19B5" w:rsidRDefault="00AA19B5">
      <w:r>
        <w:continuationSeparator/>
      </w:r>
    </w:p>
  </w:endnote>
  <w:endnote w:id="1">
    <w:p w:rsidR="00AA19B5" w:rsidRDefault="00AA19B5" w:rsidP="00623884">
      <w:pPr>
        <w:pStyle w:val="EndnoteText"/>
        <w:ind w:left="180" w:hanging="180"/>
      </w:pPr>
      <w:r>
        <w:rPr>
          <w:rStyle w:val="EndnoteReference"/>
        </w:rPr>
        <w:endnoteRef/>
      </w:r>
      <w:r>
        <w:t xml:space="preserve"> </w:t>
      </w:r>
      <w:r w:rsidRPr="00623884">
        <w:t>Martin G, Swanson N.</w:t>
      </w:r>
      <w:r>
        <w:t xml:space="preserve"> </w:t>
      </w:r>
      <w:r w:rsidRPr="00623884">
        <w:t xml:space="preserve">Clinical findings using </w:t>
      </w:r>
      <w:proofErr w:type="spellStart"/>
      <w:r w:rsidRPr="00623884">
        <w:rPr>
          <w:bCs/>
        </w:rPr>
        <w:t>ingenol</w:t>
      </w:r>
      <w:proofErr w:type="spellEnd"/>
      <w:r w:rsidRPr="00623884">
        <w:t xml:space="preserve"> </w:t>
      </w:r>
      <w:proofErr w:type="spellStart"/>
      <w:r w:rsidRPr="00623884">
        <w:t>mebutate</w:t>
      </w:r>
      <w:proofErr w:type="spellEnd"/>
      <w:r w:rsidRPr="00623884">
        <w:t xml:space="preserve"> gel to treat actinic </w:t>
      </w:r>
      <w:proofErr w:type="spellStart"/>
      <w:r w:rsidRPr="00623884">
        <w:t>keratoses</w:t>
      </w:r>
      <w:proofErr w:type="spellEnd"/>
      <w:r w:rsidRPr="00623884">
        <w:t>.</w:t>
      </w:r>
      <w:r>
        <w:t xml:space="preserve"> </w:t>
      </w:r>
      <w:r w:rsidRPr="00623884">
        <w:t xml:space="preserve">J Am </w:t>
      </w:r>
      <w:proofErr w:type="spellStart"/>
      <w:r w:rsidRPr="00623884">
        <w:t>Acad</w:t>
      </w:r>
      <w:proofErr w:type="spellEnd"/>
      <w:r w:rsidRPr="00623884">
        <w:t xml:space="preserve"> </w:t>
      </w:r>
      <w:proofErr w:type="spellStart"/>
      <w:r w:rsidRPr="00623884">
        <w:t>Dermatol</w:t>
      </w:r>
      <w:proofErr w:type="spellEnd"/>
      <w:r w:rsidRPr="00623884">
        <w:t>. 2013 Jan</w:t>
      </w:r>
      <w:proofErr w:type="gramStart"/>
      <w:r w:rsidRPr="00623884">
        <w:t>;68</w:t>
      </w:r>
      <w:proofErr w:type="gramEnd"/>
      <w:r w:rsidRPr="00623884">
        <w:t xml:space="preserve">(1 </w:t>
      </w:r>
      <w:proofErr w:type="spellStart"/>
      <w:r w:rsidRPr="00623884">
        <w:t>Suppl</w:t>
      </w:r>
      <w:proofErr w:type="spellEnd"/>
      <w:r w:rsidRPr="00623884">
        <w:t xml:space="preserve"> 1):S39-48.</w:t>
      </w:r>
    </w:p>
  </w:endnote>
  <w:endnote w:id="2">
    <w:p w:rsidR="00AA19B5" w:rsidRDefault="00AA19B5" w:rsidP="004E4984">
      <w:pPr>
        <w:pStyle w:val="EndnoteText"/>
        <w:ind w:left="180" w:hanging="180"/>
      </w:pPr>
      <w:r>
        <w:rPr>
          <w:rStyle w:val="EndnoteReference"/>
        </w:rPr>
        <w:endnoteRef/>
      </w:r>
      <w:r>
        <w:t xml:space="preserve"> </w:t>
      </w:r>
      <w:proofErr w:type="gramStart"/>
      <w:r>
        <w:t>Padilla</w:t>
      </w:r>
      <w:r w:rsidRPr="004E4984">
        <w:t xml:space="preserve"> </w:t>
      </w:r>
      <w:r>
        <w:t>RS</w:t>
      </w:r>
      <w:r w:rsidRPr="004E4984">
        <w:t>.</w:t>
      </w:r>
      <w:proofErr w:type="gramEnd"/>
      <w:r w:rsidRPr="004E4984">
        <w:t xml:space="preserve"> </w:t>
      </w:r>
      <w:proofErr w:type="gramStart"/>
      <w:r>
        <w:t>Epidemiology, natural history, and diagnosis of actinic keratosis</w:t>
      </w:r>
      <w:r w:rsidRPr="004E4984">
        <w:t>.</w:t>
      </w:r>
      <w:proofErr w:type="gramEnd"/>
      <w:r w:rsidRPr="004E4984">
        <w:t xml:space="preserve"> In:  </w:t>
      </w:r>
      <w:proofErr w:type="spellStart"/>
      <w:r w:rsidRPr="004E4984">
        <w:t>UpToDate</w:t>
      </w:r>
      <w:proofErr w:type="spellEnd"/>
      <w:r w:rsidRPr="004E4984">
        <w:t xml:space="preserve">, </w:t>
      </w:r>
      <w:proofErr w:type="spellStart"/>
      <w:r w:rsidRPr="004E4984">
        <w:t>Basow</w:t>
      </w:r>
      <w:proofErr w:type="spellEnd"/>
      <w:r w:rsidRPr="004E4984">
        <w:t xml:space="preserve">, DS (Ed), </w:t>
      </w:r>
      <w:proofErr w:type="spellStart"/>
      <w:r w:rsidRPr="004E4984">
        <w:t>UpToDate</w:t>
      </w:r>
      <w:proofErr w:type="spellEnd"/>
      <w:r w:rsidRPr="004E4984">
        <w:t>, Waltham, MA, 2013</w:t>
      </w:r>
    </w:p>
  </w:endnote>
  <w:endnote w:id="3">
    <w:p w:rsidR="00AA19B5" w:rsidRDefault="00AA19B5" w:rsidP="00F119E3">
      <w:pPr>
        <w:pStyle w:val="EndnoteText"/>
        <w:ind w:left="180" w:hanging="180"/>
      </w:pPr>
      <w:r>
        <w:rPr>
          <w:rStyle w:val="EndnoteReference"/>
        </w:rPr>
        <w:endnoteRef/>
      </w:r>
      <w:r>
        <w:t xml:space="preserve"> </w:t>
      </w:r>
      <w:proofErr w:type="spellStart"/>
      <w:r w:rsidRPr="00F119E3">
        <w:t>Stockfleth</w:t>
      </w:r>
      <w:proofErr w:type="spellEnd"/>
      <w:r w:rsidRPr="00F119E3">
        <w:t xml:space="preserve"> E.</w:t>
      </w:r>
      <w:r>
        <w:t xml:space="preserve"> </w:t>
      </w:r>
      <w:r w:rsidRPr="00F119E3">
        <w:rPr>
          <w:bCs/>
        </w:rPr>
        <w:t>The paradigm shift in treating actinic keratosis: a comprehensive strategy.</w:t>
      </w:r>
      <w:r w:rsidRPr="00F119E3">
        <w:t xml:space="preserve"> </w:t>
      </w:r>
      <w:proofErr w:type="gramStart"/>
      <w:r w:rsidRPr="00F119E3">
        <w:t xml:space="preserve">J Drugs </w:t>
      </w:r>
      <w:proofErr w:type="spellStart"/>
      <w:r w:rsidRPr="00F119E3">
        <w:t>Dermatol</w:t>
      </w:r>
      <w:proofErr w:type="spellEnd"/>
      <w:r w:rsidRPr="00F119E3">
        <w:t>.</w:t>
      </w:r>
      <w:proofErr w:type="gramEnd"/>
      <w:r w:rsidRPr="00F119E3">
        <w:t xml:space="preserve"> 2012 Dec</w:t>
      </w:r>
      <w:proofErr w:type="gramStart"/>
      <w:r w:rsidRPr="00F119E3">
        <w:t>;11</w:t>
      </w:r>
      <w:proofErr w:type="gramEnd"/>
      <w:r w:rsidRPr="00F119E3">
        <w:t>(12):1462-7.</w:t>
      </w:r>
    </w:p>
  </w:endnote>
  <w:endnote w:id="4">
    <w:p w:rsidR="00AA19B5" w:rsidRDefault="00AA19B5" w:rsidP="00C100B1">
      <w:pPr>
        <w:pStyle w:val="EndnoteText"/>
        <w:ind w:left="180" w:hanging="180"/>
      </w:pPr>
      <w:r>
        <w:rPr>
          <w:rStyle w:val="EndnoteReference"/>
        </w:rPr>
        <w:endnoteRef/>
      </w:r>
      <w:r>
        <w:t xml:space="preserve"> </w:t>
      </w:r>
      <w:proofErr w:type="spellStart"/>
      <w:r>
        <w:t>Criscione</w:t>
      </w:r>
      <w:proofErr w:type="spellEnd"/>
      <w:r>
        <w:t xml:space="preserve"> VD, Weinstock MA, Naylor MF, </w:t>
      </w:r>
      <w:proofErr w:type="spellStart"/>
      <w:r>
        <w:t>Luque</w:t>
      </w:r>
      <w:proofErr w:type="spellEnd"/>
      <w:r>
        <w:t xml:space="preserve"> C, </w:t>
      </w:r>
      <w:proofErr w:type="spellStart"/>
      <w:r>
        <w:t>Eide</w:t>
      </w:r>
      <w:proofErr w:type="spellEnd"/>
      <w:r>
        <w:t xml:space="preserve"> MJ, Bingham SF; Department of Veteran Affairs Topical </w:t>
      </w:r>
      <w:proofErr w:type="spellStart"/>
      <w:r>
        <w:t>Tretinoin</w:t>
      </w:r>
      <w:proofErr w:type="spellEnd"/>
      <w:r>
        <w:t xml:space="preserve"> Chemoprevention Trial Group.</w:t>
      </w:r>
      <w:r w:rsidRPr="00C100B1">
        <w:t xml:space="preserve"> </w:t>
      </w:r>
      <w:r>
        <w:t xml:space="preserve">Actinic </w:t>
      </w:r>
      <w:proofErr w:type="spellStart"/>
      <w:r>
        <w:t>keratoses</w:t>
      </w:r>
      <w:proofErr w:type="spellEnd"/>
      <w:r>
        <w:t xml:space="preserve">: Natural history and risk of malignant transformation in the Veterans Affairs Topical </w:t>
      </w:r>
      <w:proofErr w:type="spellStart"/>
      <w:r>
        <w:t>Tretinoin</w:t>
      </w:r>
      <w:proofErr w:type="spellEnd"/>
      <w:r>
        <w:t xml:space="preserve"> Chemoprevention Trial.</w:t>
      </w:r>
      <w:r w:rsidRPr="00C100B1">
        <w:t xml:space="preserve"> </w:t>
      </w:r>
      <w:proofErr w:type="gramStart"/>
      <w:r>
        <w:t>Cancer.</w:t>
      </w:r>
      <w:proofErr w:type="gramEnd"/>
      <w:r>
        <w:t xml:space="preserve"> 2009 Jun 1</w:t>
      </w:r>
      <w:proofErr w:type="gramStart"/>
      <w:r>
        <w:t>;115</w:t>
      </w:r>
      <w:proofErr w:type="gramEnd"/>
      <w:r>
        <w:t>(11):2523-30.</w:t>
      </w:r>
    </w:p>
  </w:endnote>
  <w:endnote w:id="5">
    <w:p w:rsidR="00AA19B5" w:rsidRDefault="00AA19B5" w:rsidP="00273F43">
      <w:pPr>
        <w:pStyle w:val="EndnoteText"/>
        <w:ind w:left="180" w:hanging="180"/>
      </w:pPr>
      <w:r>
        <w:rPr>
          <w:rStyle w:val="EndnoteReference"/>
        </w:rPr>
        <w:endnoteRef/>
      </w:r>
      <w:r>
        <w:t xml:space="preserve"> </w:t>
      </w:r>
      <w:r w:rsidRPr="00273F43">
        <w:t xml:space="preserve">Berlin J.M., Rigel D.S.: Diclofenac sodium 3% gel in the treatment of actinic </w:t>
      </w:r>
      <w:proofErr w:type="spellStart"/>
      <w:r w:rsidRPr="00273F43">
        <w:t>keratoses</w:t>
      </w:r>
      <w:proofErr w:type="spellEnd"/>
      <w:r w:rsidRPr="00273F43">
        <w:t xml:space="preserve"> </w:t>
      </w:r>
      <w:proofErr w:type="spellStart"/>
      <w:r w:rsidRPr="00273F43">
        <w:t>postcryosurgery</w:t>
      </w:r>
      <w:proofErr w:type="spellEnd"/>
      <w:r w:rsidRPr="00273F43">
        <w:t xml:space="preserve">. J Drugs </w:t>
      </w:r>
      <w:proofErr w:type="spellStart"/>
      <w:r w:rsidRPr="00273F43">
        <w:t>Dermatol</w:t>
      </w:r>
      <w:proofErr w:type="spellEnd"/>
      <w:r w:rsidRPr="00273F43">
        <w:t xml:space="preserve"> 2008; 7: 669-673</w:t>
      </w:r>
    </w:p>
  </w:endnote>
  <w:endnote w:id="6">
    <w:p w:rsidR="00AA19B5" w:rsidRDefault="00AA19B5" w:rsidP="00273F43">
      <w:pPr>
        <w:pStyle w:val="EndnoteText"/>
        <w:ind w:left="180" w:hanging="180"/>
      </w:pPr>
      <w:r>
        <w:rPr>
          <w:rStyle w:val="EndnoteReference"/>
        </w:rPr>
        <w:endnoteRef/>
      </w:r>
      <w:r>
        <w:t xml:space="preserve"> </w:t>
      </w:r>
      <w:r w:rsidRPr="00273F43">
        <w:t xml:space="preserve">Tan J.K., Thomas D.R., </w:t>
      </w:r>
      <w:proofErr w:type="spellStart"/>
      <w:r w:rsidRPr="00273F43">
        <w:t>Poulin</w:t>
      </w:r>
      <w:proofErr w:type="spellEnd"/>
      <w:r w:rsidRPr="00273F43">
        <w:t xml:space="preserve"> Y.,</w:t>
      </w:r>
      <w:r>
        <w:t xml:space="preserve"> </w:t>
      </w:r>
      <w:r w:rsidRPr="00273F43">
        <w:t xml:space="preserve">et al: Efficacy of </w:t>
      </w:r>
      <w:proofErr w:type="spellStart"/>
      <w:r w:rsidRPr="00273F43">
        <w:t>imiquimod</w:t>
      </w:r>
      <w:proofErr w:type="spellEnd"/>
      <w:r w:rsidRPr="00273F43">
        <w:t xml:space="preserve"> as an adjunct to cryotherapy for actinic </w:t>
      </w:r>
      <w:proofErr w:type="spellStart"/>
      <w:r w:rsidRPr="00273F43">
        <w:t>keratoses</w:t>
      </w:r>
      <w:proofErr w:type="spellEnd"/>
      <w:r w:rsidRPr="00273F43">
        <w:t xml:space="preserve">. J </w:t>
      </w:r>
      <w:proofErr w:type="spellStart"/>
      <w:r w:rsidRPr="00273F43">
        <w:t>Cutan</w:t>
      </w:r>
      <w:proofErr w:type="spellEnd"/>
      <w:r w:rsidRPr="00273F43">
        <w:t xml:space="preserve"> Med </w:t>
      </w:r>
      <w:proofErr w:type="spellStart"/>
      <w:r w:rsidRPr="00273F43">
        <w:t>Surg</w:t>
      </w:r>
      <w:proofErr w:type="spellEnd"/>
      <w:r w:rsidRPr="00273F43">
        <w:t xml:space="preserve"> 2007; 11: 195-201</w:t>
      </w:r>
    </w:p>
  </w:endnote>
  <w:endnote w:id="7">
    <w:p w:rsidR="00AA19B5" w:rsidRDefault="00AA19B5" w:rsidP="00273F43">
      <w:pPr>
        <w:pStyle w:val="EndnoteText"/>
        <w:ind w:left="180" w:hanging="180"/>
      </w:pPr>
      <w:r>
        <w:rPr>
          <w:rStyle w:val="EndnoteReference"/>
        </w:rPr>
        <w:endnoteRef/>
      </w:r>
      <w:r>
        <w:t xml:space="preserve"> </w:t>
      </w:r>
      <w:proofErr w:type="spellStart"/>
      <w:r w:rsidRPr="00273F43">
        <w:t>Jorizzo</w:t>
      </w:r>
      <w:proofErr w:type="spellEnd"/>
      <w:r w:rsidRPr="00273F43">
        <w:t xml:space="preserve"> J.L., Markowitz O., </w:t>
      </w:r>
      <w:proofErr w:type="spellStart"/>
      <w:r w:rsidRPr="00273F43">
        <w:t>Lebwohl</w:t>
      </w:r>
      <w:proofErr w:type="spellEnd"/>
      <w:r w:rsidRPr="00273F43">
        <w:t xml:space="preserve"> M.G.,</w:t>
      </w:r>
      <w:r>
        <w:t xml:space="preserve"> </w:t>
      </w:r>
      <w:r w:rsidRPr="00273F43">
        <w:t xml:space="preserve">et al: A randomized, double-blinded, placebo-controlled, multicenter, efficacy and safety study of 3.75% </w:t>
      </w:r>
      <w:proofErr w:type="spellStart"/>
      <w:r w:rsidRPr="00273F43">
        <w:t>imiquimod</w:t>
      </w:r>
      <w:proofErr w:type="spellEnd"/>
      <w:r w:rsidRPr="00273F43">
        <w:t xml:space="preserve"> cream following cryosurgery for the treatment of actinic </w:t>
      </w:r>
      <w:proofErr w:type="spellStart"/>
      <w:r w:rsidRPr="00273F43">
        <w:t>keratoses</w:t>
      </w:r>
      <w:proofErr w:type="spellEnd"/>
      <w:r w:rsidRPr="00273F43">
        <w:t xml:space="preserve">. J Drugs </w:t>
      </w:r>
      <w:proofErr w:type="spellStart"/>
      <w:r w:rsidRPr="00273F43">
        <w:t>Dermatol</w:t>
      </w:r>
      <w:proofErr w:type="spellEnd"/>
      <w:r w:rsidRPr="00273F43">
        <w:t xml:space="preserve"> 2010; 9: 1101-1108</w:t>
      </w:r>
    </w:p>
  </w:endnote>
  <w:endnote w:id="8">
    <w:p w:rsidR="00AA19B5" w:rsidRDefault="00AA19B5" w:rsidP="00273F43">
      <w:pPr>
        <w:pStyle w:val="EndnoteText"/>
        <w:ind w:left="180" w:hanging="180"/>
      </w:pPr>
      <w:r>
        <w:rPr>
          <w:rStyle w:val="EndnoteReference"/>
        </w:rPr>
        <w:endnoteRef/>
      </w:r>
      <w:r>
        <w:t xml:space="preserve"> </w:t>
      </w:r>
      <w:proofErr w:type="spellStart"/>
      <w:r w:rsidRPr="00273F43">
        <w:t>Jorizzo</w:t>
      </w:r>
      <w:proofErr w:type="spellEnd"/>
      <w:r w:rsidRPr="00273F43">
        <w:t xml:space="preserve"> J., Weiss J., </w:t>
      </w:r>
      <w:proofErr w:type="spellStart"/>
      <w:r w:rsidRPr="00273F43">
        <w:t>Vamvakias</w:t>
      </w:r>
      <w:proofErr w:type="spellEnd"/>
      <w:r w:rsidRPr="00273F43">
        <w:t xml:space="preserve"> G.,</w:t>
      </w:r>
      <w:r>
        <w:t xml:space="preserve"> </w:t>
      </w:r>
      <w:r w:rsidRPr="00273F43">
        <w:t xml:space="preserve">et al: One-week treatment with 0.5% fluorouracil cream prior to cryosurgery in patients with actinic </w:t>
      </w:r>
      <w:proofErr w:type="spellStart"/>
      <w:r w:rsidRPr="00273F43">
        <w:t>keratoses</w:t>
      </w:r>
      <w:proofErr w:type="spellEnd"/>
      <w:r w:rsidRPr="00273F43">
        <w:t xml:space="preserve">: a double-blind, vehicle-controlled, long-term study. J Drugs </w:t>
      </w:r>
      <w:proofErr w:type="spellStart"/>
      <w:r w:rsidRPr="00273F43">
        <w:t>Dermatol</w:t>
      </w:r>
      <w:proofErr w:type="spellEnd"/>
      <w:r w:rsidRPr="00273F43">
        <w:t xml:space="preserve"> 2006; 5: 133-139</w:t>
      </w:r>
    </w:p>
  </w:endnote>
  <w:endnote w:id="9">
    <w:p w:rsidR="00AA19B5" w:rsidRDefault="00AA19B5" w:rsidP="0080382B">
      <w:pPr>
        <w:pStyle w:val="EndnoteText"/>
        <w:ind w:left="180" w:hanging="180"/>
      </w:pPr>
      <w:r>
        <w:rPr>
          <w:rStyle w:val="EndnoteReference"/>
        </w:rPr>
        <w:endnoteRef/>
      </w:r>
      <w:r>
        <w:t xml:space="preserve"> </w:t>
      </w:r>
      <w:proofErr w:type="spellStart"/>
      <w:proofErr w:type="gramStart"/>
      <w:r w:rsidRPr="0080382B">
        <w:t>Siller</w:t>
      </w:r>
      <w:proofErr w:type="spellEnd"/>
      <w:r w:rsidRPr="0080382B">
        <w:t xml:space="preserve"> G, Rosen R, Freeman M, et al. PEP005 (</w:t>
      </w:r>
      <w:proofErr w:type="spellStart"/>
      <w:r w:rsidRPr="0080382B">
        <w:t>ingenol</w:t>
      </w:r>
      <w:proofErr w:type="spellEnd"/>
      <w:r w:rsidRPr="0080382B">
        <w:t xml:space="preserve"> </w:t>
      </w:r>
      <w:proofErr w:type="spellStart"/>
      <w:r w:rsidRPr="0080382B">
        <w:t>mebutate</w:t>
      </w:r>
      <w:proofErr w:type="spellEnd"/>
      <w:r w:rsidRPr="0080382B">
        <w:t xml:space="preserve">) gel for the topical treatment of superficial basal cell carcinoma: results of a randomized phase </w:t>
      </w:r>
      <w:proofErr w:type="spellStart"/>
      <w:r w:rsidRPr="0080382B">
        <w:t>IIa</w:t>
      </w:r>
      <w:proofErr w:type="spellEnd"/>
      <w:r w:rsidRPr="0080382B">
        <w:t xml:space="preserve"> trial.</w:t>
      </w:r>
      <w:proofErr w:type="gramEnd"/>
      <w:r w:rsidRPr="0080382B">
        <w:t xml:space="preserve"> </w:t>
      </w:r>
      <w:proofErr w:type="spellStart"/>
      <w:r w:rsidRPr="0080382B">
        <w:t>Australas</w:t>
      </w:r>
      <w:proofErr w:type="spellEnd"/>
      <w:r w:rsidRPr="0080382B">
        <w:t xml:space="preserve"> J </w:t>
      </w:r>
      <w:proofErr w:type="spellStart"/>
      <w:r w:rsidRPr="0080382B">
        <w:t>Dermatol</w:t>
      </w:r>
      <w:proofErr w:type="spellEnd"/>
      <w:r w:rsidRPr="0080382B">
        <w:t xml:space="preserve"> 2010; 51:99–105</w:t>
      </w:r>
    </w:p>
  </w:endnote>
  <w:endnote w:id="10">
    <w:p w:rsidR="00AA19B5" w:rsidRDefault="00AA19B5" w:rsidP="00E43D16">
      <w:pPr>
        <w:pStyle w:val="EndnoteText"/>
        <w:ind w:left="180" w:hanging="180"/>
      </w:pPr>
      <w:r>
        <w:rPr>
          <w:rStyle w:val="EndnoteReference"/>
        </w:rPr>
        <w:endnoteRef/>
      </w:r>
      <w:r>
        <w:t xml:space="preserve"> </w:t>
      </w:r>
      <w:r w:rsidRPr="00E43D16">
        <w:t xml:space="preserve">Ramsay JR, </w:t>
      </w:r>
      <w:proofErr w:type="spellStart"/>
      <w:r w:rsidRPr="00E43D16">
        <w:t>Suhrbier</w:t>
      </w:r>
      <w:proofErr w:type="spellEnd"/>
      <w:r w:rsidRPr="00E43D16">
        <w:t xml:space="preserve"> A, </w:t>
      </w:r>
      <w:proofErr w:type="spellStart"/>
      <w:r w:rsidRPr="00E43D16">
        <w:t>Aylward</w:t>
      </w:r>
      <w:proofErr w:type="spellEnd"/>
      <w:r w:rsidRPr="00E43D16">
        <w:t xml:space="preserve"> JH, </w:t>
      </w:r>
      <w:proofErr w:type="spellStart"/>
      <w:r w:rsidRPr="00E43D16">
        <w:t>Ogbourne</w:t>
      </w:r>
      <w:proofErr w:type="spellEnd"/>
      <w:r w:rsidRPr="00E43D16">
        <w:t xml:space="preserve"> S, </w:t>
      </w:r>
      <w:proofErr w:type="spellStart"/>
      <w:r w:rsidRPr="00E43D16">
        <w:t>Cozzi</w:t>
      </w:r>
      <w:proofErr w:type="spellEnd"/>
      <w:r w:rsidRPr="00E43D16">
        <w:t xml:space="preserve"> SJ, </w:t>
      </w:r>
      <w:proofErr w:type="spellStart"/>
      <w:r w:rsidRPr="00E43D16">
        <w:t>Poulsen</w:t>
      </w:r>
      <w:proofErr w:type="spellEnd"/>
      <w:r w:rsidRPr="00E43D16">
        <w:t xml:space="preserve"> MG, </w:t>
      </w:r>
      <w:r>
        <w:t>et al</w:t>
      </w:r>
      <w:r w:rsidRPr="00E43D16">
        <w:t>.</w:t>
      </w:r>
      <w:r w:rsidRPr="00E43D16">
        <w:rPr>
          <w:rFonts w:ascii="Arial" w:hAnsi="Arial" w:cs="Arial"/>
          <w:sz w:val="22"/>
          <w:szCs w:val="22"/>
        </w:rPr>
        <w:t xml:space="preserve"> </w:t>
      </w:r>
      <w:r w:rsidRPr="00E43D16">
        <w:t xml:space="preserve">The sap from Euphorbia </w:t>
      </w:r>
      <w:proofErr w:type="spellStart"/>
      <w:r w:rsidRPr="004E6655">
        <w:rPr>
          <w:bCs/>
        </w:rPr>
        <w:t>peplus</w:t>
      </w:r>
      <w:proofErr w:type="spellEnd"/>
      <w:r w:rsidRPr="00E43D16">
        <w:t xml:space="preserve"> is effective against human </w:t>
      </w:r>
      <w:proofErr w:type="spellStart"/>
      <w:r w:rsidRPr="00E43D16">
        <w:t>nonmelanoma</w:t>
      </w:r>
      <w:proofErr w:type="spellEnd"/>
      <w:r w:rsidRPr="00E43D16">
        <w:t xml:space="preserve"> skin cancers.</w:t>
      </w:r>
      <w:r w:rsidRPr="00E43D16">
        <w:rPr>
          <w:rFonts w:ascii="Arial" w:hAnsi="Arial" w:cs="Arial"/>
          <w:sz w:val="18"/>
          <w:szCs w:val="18"/>
        </w:rPr>
        <w:t xml:space="preserve"> </w:t>
      </w:r>
      <w:proofErr w:type="gramStart"/>
      <w:r w:rsidRPr="00E43D16">
        <w:t xml:space="preserve">Br J </w:t>
      </w:r>
      <w:proofErr w:type="spellStart"/>
      <w:r w:rsidRPr="00E43D16">
        <w:t>Dermatol</w:t>
      </w:r>
      <w:proofErr w:type="spellEnd"/>
      <w:r w:rsidRPr="00E43D16">
        <w:t>.</w:t>
      </w:r>
      <w:proofErr w:type="gramEnd"/>
      <w:r w:rsidRPr="00E43D16">
        <w:t xml:space="preserve"> 2011 Mar;164(3):633-6</w:t>
      </w:r>
    </w:p>
  </w:endnote>
  <w:endnote w:id="11">
    <w:p w:rsidR="00AA19B5" w:rsidRDefault="00AA19B5" w:rsidP="00F7482A">
      <w:pPr>
        <w:pStyle w:val="EndnoteText"/>
      </w:pPr>
      <w:r>
        <w:rPr>
          <w:rStyle w:val="EndnoteReference"/>
        </w:rPr>
        <w:endnoteRef/>
      </w:r>
      <w:r>
        <w:t xml:space="preserve"> </w:t>
      </w:r>
      <w:proofErr w:type="spellStart"/>
      <w:proofErr w:type="gramStart"/>
      <w:r>
        <w:t>Jorizzo</w:t>
      </w:r>
      <w:proofErr w:type="spellEnd"/>
      <w:r>
        <w:t xml:space="preserve"> J. Treatment of actinic keratosis.</w:t>
      </w:r>
      <w:proofErr w:type="gramEnd"/>
      <w:r>
        <w:t xml:space="preserve"> In:  </w:t>
      </w:r>
      <w:proofErr w:type="spellStart"/>
      <w:r>
        <w:t>UpToDate</w:t>
      </w:r>
      <w:proofErr w:type="spellEnd"/>
      <w:r>
        <w:t xml:space="preserve">, </w:t>
      </w:r>
      <w:proofErr w:type="spellStart"/>
      <w:r>
        <w:t>Basow</w:t>
      </w:r>
      <w:proofErr w:type="spellEnd"/>
      <w:r>
        <w:t xml:space="preserve">, DS (Ed), </w:t>
      </w:r>
      <w:proofErr w:type="spellStart"/>
      <w:r>
        <w:t>UpToDate</w:t>
      </w:r>
      <w:proofErr w:type="spellEnd"/>
      <w:r>
        <w:t>, Waltham, MA, 2013</w:t>
      </w:r>
    </w:p>
  </w:endnote>
  <w:endnote w:id="12">
    <w:p w:rsidR="00AA19B5" w:rsidRDefault="00AA19B5" w:rsidP="00F7482A">
      <w:pPr>
        <w:pStyle w:val="EndnoteText"/>
      </w:pPr>
      <w:r>
        <w:rPr>
          <w:rStyle w:val="EndnoteReference"/>
        </w:rPr>
        <w:endnoteRef/>
      </w:r>
      <w:r>
        <w:t xml:space="preserve"> </w:t>
      </w:r>
      <w:proofErr w:type="spellStart"/>
      <w:r w:rsidRPr="00F7482A">
        <w:rPr>
          <w:bCs/>
        </w:rPr>
        <w:t>Uhlenhake</w:t>
      </w:r>
      <w:proofErr w:type="spellEnd"/>
      <w:r w:rsidRPr="00F7482A">
        <w:t xml:space="preserve"> EE.</w:t>
      </w:r>
      <w:r>
        <w:t xml:space="preserve"> </w:t>
      </w:r>
      <w:proofErr w:type="gramStart"/>
      <w:r w:rsidRPr="00F7482A">
        <w:t xml:space="preserve">Optimal treatment of actinic </w:t>
      </w:r>
      <w:proofErr w:type="spellStart"/>
      <w:r w:rsidRPr="00F7482A">
        <w:t>keratoses</w:t>
      </w:r>
      <w:proofErr w:type="spellEnd"/>
      <w:r w:rsidRPr="00F7482A">
        <w:t>.</w:t>
      </w:r>
      <w:proofErr w:type="gramEnd"/>
      <w:r>
        <w:t xml:space="preserve"> </w:t>
      </w:r>
      <w:proofErr w:type="spellStart"/>
      <w:proofErr w:type="gramStart"/>
      <w:r w:rsidRPr="00F7482A">
        <w:t>Clin</w:t>
      </w:r>
      <w:proofErr w:type="spellEnd"/>
      <w:r w:rsidRPr="00F7482A">
        <w:t xml:space="preserve"> </w:t>
      </w:r>
      <w:proofErr w:type="spellStart"/>
      <w:r w:rsidRPr="00F7482A">
        <w:t>Interv</w:t>
      </w:r>
      <w:proofErr w:type="spellEnd"/>
      <w:r w:rsidRPr="00F7482A">
        <w:t xml:space="preserve"> Aging.</w:t>
      </w:r>
      <w:proofErr w:type="gramEnd"/>
      <w:r w:rsidRPr="00F7482A">
        <w:t xml:space="preserve"> </w:t>
      </w:r>
      <w:r w:rsidRPr="00F7482A">
        <w:rPr>
          <w:bCs/>
        </w:rPr>
        <w:t>2013</w:t>
      </w:r>
      <w:r w:rsidRPr="00F7482A">
        <w:t>;8:29-35</w:t>
      </w:r>
    </w:p>
  </w:endnote>
  <w:endnote w:id="13">
    <w:p w:rsidR="00AA19B5" w:rsidRDefault="00AA19B5" w:rsidP="00F60627">
      <w:pPr>
        <w:pStyle w:val="EndnoteText"/>
        <w:ind w:left="180" w:hanging="180"/>
      </w:pPr>
      <w:r>
        <w:rPr>
          <w:rStyle w:val="EndnoteReference"/>
        </w:rPr>
        <w:endnoteRef/>
      </w:r>
      <w:r>
        <w:t xml:space="preserve"> </w:t>
      </w:r>
      <w:proofErr w:type="spellStart"/>
      <w:r w:rsidRPr="00F60627">
        <w:t>Siller</w:t>
      </w:r>
      <w:proofErr w:type="spellEnd"/>
      <w:r w:rsidRPr="00F60627">
        <w:t xml:space="preserve"> G., </w:t>
      </w:r>
      <w:proofErr w:type="spellStart"/>
      <w:r w:rsidRPr="00F60627">
        <w:t>Gebauer</w:t>
      </w:r>
      <w:proofErr w:type="spellEnd"/>
      <w:r w:rsidRPr="00F60627">
        <w:t xml:space="preserve"> K., </w:t>
      </w:r>
      <w:proofErr w:type="spellStart"/>
      <w:r w:rsidRPr="00F60627">
        <w:t>Welburn</w:t>
      </w:r>
      <w:proofErr w:type="spellEnd"/>
      <w:r w:rsidRPr="00F60627">
        <w:t xml:space="preserve"> P.,</w:t>
      </w:r>
      <w:r>
        <w:t xml:space="preserve"> </w:t>
      </w:r>
      <w:r w:rsidRPr="00F60627">
        <w:t>et al: PEP005 (</w:t>
      </w:r>
      <w:proofErr w:type="spellStart"/>
      <w:r w:rsidRPr="00F60627">
        <w:t>ingenol</w:t>
      </w:r>
      <w:proofErr w:type="spellEnd"/>
      <w:r w:rsidRPr="00F60627">
        <w:t xml:space="preserve"> </w:t>
      </w:r>
      <w:proofErr w:type="spellStart"/>
      <w:r w:rsidRPr="00F60627">
        <w:t>mebutate</w:t>
      </w:r>
      <w:proofErr w:type="spellEnd"/>
      <w:r w:rsidRPr="00F60627">
        <w:t xml:space="preserve">) gel, a novel agent for the treatment of actinic keratosis: results of a randomized, double-blind, vehicle-controlled, multicenter, phase </w:t>
      </w:r>
      <w:proofErr w:type="spellStart"/>
      <w:r w:rsidRPr="00F60627">
        <w:t>IIa</w:t>
      </w:r>
      <w:proofErr w:type="spellEnd"/>
      <w:r w:rsidRPr="00F60627">
        <w:t xml:space="preserve"> study. </w:t>
      </w:r>
      <w:proofErr w:type="spellStart"/>
      <w:r w:rsidRPr="00F60627">
        <w:t>Australas</w:t>
      </w:r>
      <w:proofErr w:type="spellEnd"/>
      <w:r w:rsidRPr="00F60627">
        <w:t xml:space="preserve"> J </w:t>
      </w:r>
      <w:proofErr w:type="spellStart"/>
      <w:r w:rsidRPr="00F60627">
        <w:t>Dermatol</w:t>
      </w:r>
      <w:proofErr w:type="spellEnd"/>
      <w:r w:rsidRPr="00F60627">
        <w:t xml:space="preserve"> 2009; 50: 16-22</w:t>
      </w:r>
    </w:p>
  </w:endnote>
  <w:endnote w:id="14">
    <w:p w:rsidR="00AA19B5" w:rsidRDefault="00AA19B5" w:rsidP="00A537E4">
      <w:pPr>
        <w:pStyle w:val="EndnoteText"/>
        <w:ind w:left="180" w:hanging="180"/>
      </w:pPr>
      <w:r>
        <w:rPr>
          <w:rStyle w:val="EndnoteReference"/>
        </w:rPr>
        <w:endnoteRef/>
      </w:r>
      <w:r>
        <w:t xml:space="preserve"> </w:t>
      </w:r>
      <w:r w:rsidRPr="00F60627">
        <w:t xml:space="preserve">Anderson L., </w:t>
      </w:r>
      <w:proofErr w:type="spellStart"/>
      <w:r w:rsidRPr="00F60627">
        <w:t>Schmieder</w:t>
      </w:r>
      <w:proofErr w:type="spellEnd"/>
      <w:r w:rsidRPr="00F60627">
        <w:t xml:space="preserve"> G.J., </w:t>
      </w:r>
      <w:proofErr w:type="spellStart"/>
      <w:r w:rsidRPr="00F60627">
        <w:t>Werschler</w:t>
      </w:r>
      <w:proofErr w:type="spellEnd"/>
      <w:r w:rsidRPr="00F60627">
        <w:t xml:space="preserve"> W.P.,</w:t>
      </w:r>
      <w:r>
        <w:t xml:space="preserve"> </w:t>
      </w:r>
      <w:r w:rsidRPr="00F60627">
        <w:t xml:space="preserve">et al: Randomized, double-blind, double-dummy, vehicle-controlled study of </w:t>
      </w:r>
      <w:proofErr w:type="spellStart"/>
      <w:r w:rsidRPr="00F60627">
        <w:t>ingenol</w:t>
      </w:r>
      <w:proofErr w:type="spellEnd"/>
      <w:r w:rsidRPr="00F60627">
        <w:t xml:space="preserve"> </w:t>
      </w:r>
      <w:proofErr w:type="spellStart"/>
      <w:r w:rsidRPr="00F60627">
        <w:t>mebutate</w:t>
      </w:r>
      <w:proofErr w:type="spellEnd"/>
      <w:r w:rsidRPr="00F60627">
        <w:t xml:space="preserve"> gel 0.025% and 0.05% for actinic keratosis. J Am </w:t>
      </w:r>
      <w:proofErr w:type="spellStart"/>
      <w:r w:rsidRPr="00F60627">
        <w:t>Acad</w:t>
      </w:r>
      <w:proofErr w:type="spellEnd"/>
      <w:r w:rsidRPr="00F60627">
        <w:t xml:space="preserve"> </w:t>
      </w:r>
      <w:proofErr w:type="spellStart"/>
      <w:r w:rsidRPr="00F60627">
        <w:t>Dermatol</w:t>
      </w:r>
      <w:proofErr w:type="spellEnd"/>
      <w:r w:rsidRPr="00F60627">
        <w:t xml:space="preserve"> 2009; 60: 934-943</w:t>
      </w:r>
    </w:p>
  </w:endnote>
  <w:endnote w:id="15">
    <w:p w:rsidR="00AA19B5" w:rsidRDefault="00AA19B5" w:rsidP="00A537E4">
      <w:pPr>
        <w:pStyle w:val="EndnoteText"/>
        <w:ind w:left="180" w:hanging="180"/>
      </w:pPr>
      <w:r>
        <w:rPr>
          <w:rStyle w:val="EndnoteReference"/>
        </w:rPr>
        <w:endnoteRef/>
      </w:r>
      <w:r>
        <w:t xml:space="preserve"> </w:t>
      </w:r>
      <w:proofErr w:type="spellStart"/>
      <w:r w:rsidRPr="00A537E4">
        <w:t>Lebwohl</w:t>
      </w:r>
      <w:proofErr w:type="spellEnd"/>
      <w:r w:rsidRPr="00A537E4">
        <w:t xml:space="preserve"> M., Swanson N., Anderson L.L., et al: </w:t>
      </w:r>
      <w:proofErr w:type="spellStart"/>
      <w:r w:rsidRPr="00A537E4">
        <w:t>Ingenol</w:t>
      </w:r>
      <w:proofErr w:type="spellEnd"/>
      <w:r w:rsidRPr="00A537E4">
        <w:t xml:space="preserve"> </w:t>
      </w:r>
      <w:proofErr w:type="spellStart"/>
      <w:r w:rsidRPr="00A537E4">
        <w:t>mebutate</w:t>
      </w:r>
      <w:proofErr w:type="spellEnd"/>
      <w:r w:rsidRPr="00A537E4">
        <w:t xml:space="preserve"> gel for actinic keratosis. N </w:t>
      </w:r>
      <w:proofErr w:type="spellStart"/>
      <w:r w:rsidRPr="00A537E4">
        <w:t>Engl</w:t>
      </w:r>
      <w:proofErr w:type="spellEnd"/>
      <w:r w:rsidRPr="00A537E4">
        <w:t xml:space="preserve"> J Med 2012; 366: 1010-1019</w:t>
      </w:r>
    </w:p>
  </w:endnote>
  <w:endnote w:id="16">
    <w:p w:rsidR="00AA19B5" w:rsidRDefault="00AA19B5" w:rsidP="00A537E4">
      <w:pPr>
        <w:pStyle w:val="EndnoteText"/>
        <w:ind w:left="180" w:hanging="180"/>
      </w:pPr>
      <w:r>
        <w:rPr>
          <w:rStyle w:val="EndnoteReference"/>
        </w:rPr>
        <w:endnoteRef/>
      </w:r>
      <w:r>
        <w:t xml:space="preserve"> </w:t>
      </w:r>
      <w:r w:rsidRPr="00A537E4">
        <w:t xml:space="preserve">Berman B, </w:t>
      </w:r>
      <w:proofErr w:type="spellStart"/>
      <w:r w:rsidRPr="00A537E4">
        <w:t>Marmur</w:t>
      </w:r>
      <w:proofErr w:type="spellEnd"/>
      <w:r w:rsidRPr="00A537E4">
        <w:t xml:space="preserve"> E, </w:t>
      </w:r>
      <w:proofErr w:type="spellStart"/>
      <w:r w:rsidRPr="00A537E4">
        <w:t>Melgaard</w:t>
      </w:r>
      <w:proofErr w:type="spellEnd"/>
      <w:r w:rsidRPr="00A537E4">
        <w:t xml:space="preserve"> A. Three-day topical treatment with </w:t>
      </w:r>
      <w:proofErr w:type="spellStart"/>
      <w:r w:rsidRPr="00A537E4">
        <w:t>ingenol</w:t>
      </w:r>
      <w:proofErr w:type="spellEnd"/>
      <w:r w:rsidRPr="00A537E4">
        <w:t xml:space="preserve"> </w:t>
      </w:r>
      <w:proofErr w:type="spellStart"/>
      <w:r w:rsidRPr="00A537E4">
        <w:t>mebutate</w:t>
      </w:r>
      <w:proofErr w:type="spellEnd"/>
      <w:r w:rsidRPr="00A537E4">
        <w:t xml:space="preserve"> gel 0.015% for actinic </w:t>
      </w:r>
      <w:proofErr w:type="spellStart"/>
      <w:r w:rsidRPr="00A537E4">
        <w:t>keratoses</w:t>
      </w:r>
      <w:proofErr w:type="spellEnd"/>
      <w:r w:rsidRPr="00A537E4">
        <w:t xml:space="preserve"> on the face and scalp: analysis of data pooled from two trials. </w:t>
      </w:r>
      <w:proofErr w:type="gramStart"/>
      <w:r w:rsidRPr="00A537E4">
        <w:t>Poster no.</w:t>
      </w:r>
      <w:proofErr w:type="gramEnd"/>
      <w:r w:rsidRPr="00A537E4">
        <w:t xml:space="preserve"> P5623 presented at: Annual Meeting of the American Academy of Dermatology; March 16-20, 2012; San Diego, CA.</w:t>
      </w:r>
    </w:p>
  </w:endnote>
  <w:endnote w:id="17">
    <w:p w:rsidR="00AA19B5" w:rsidRDefault="00AA19B5" w:rsidP="00A537E4">
      <w:pPr>
        <w:pStyle w:val="EndnoteText"/>
        <w:ind w:left="180" w:hanging="180"/>
      </w:pPr>
      <w:r>
        <w:rPr>
          <w:rStyle w:val="EndnoteReference"/>
        </w:rPr>
        <w:endnoteRef/>
      </w:r>
      <w:r>
        <w:t xml:space="preserve"> </w:t>
      </w:r>
      <w:r w:rsidRPr="00A537E4">
        <w:t xml:space="preserve">Anderson LL, </w:t>
      </w:r>
      <w:proofErr w:type="spellStart"/>
      <w:r w:rsidRPr="00A537E4">
        <w:t>Schmeider</w:t>
      </w:r>
      <w:proofErr w:type="spellEnd"/>
      <w:r w:rsidRPr="00A537E4">
        <w:t xml:space="preserve"> GJ, Xu Z, </w:t>
      </w:r>
      <w:proofErr w:type="spellStart"/>
      <w:r w:rsidRPr="00A537E4">
        <w:t>Melgaard</w:t>
      </w:r>
      <w:proofErr w:type="spellEnd"/>
      <w:r w:rsidRPr="00A537E4">
        <w:t xml:space="preserve"> A. Two-day topical treatment with </w:t>
      </w:r>
      <w:proofErr w:type="spellStart"/>
      <w:r w:rsidRPr="00A537E4">
        <w:t>ingenol</w:t>
      </w:r>
      <w:proofErr w:type="spellEnd"/>
      <w:r w:rsidRPr="00A537E4">
        <w:t xml:space="preserve"> </w:t>
      </w:r>
      <w:proofErr w:type="spellStart"/>
      <w:r w:rsidRPr="00A537E4">
        <w:t>mebutate</w:t>
      </w:r>
      <w:proofErr w:type="spellEnd"/>
      <w:r w:rsidRPr="00A537E4">
        <w:t xml:space="preserve"> gel 0.05% for actinic </w:t>
      </w:r>
      <w:proofErr w:type="spellStart"/>
      <w:r w:rsidRPr="00A537E4">
        <w:t>keratoses</w:t>
      </w:r>
      <w:proofErr w:type="spellEnd"/>
      <w:r w:rsidRPr="00A537E4">
        <w:t xml:space="preserve"> on the trunk and extremities: analysis of data pooled from two trials. </w:t>
      </w:r>
      <w:proofErr w:type="gramStart"/>
      <w:r w:rsidRPr="00A537E4">
        <w:t>Poster no.</w:t>
      </w:r>
      <w:proofErr w:type="gramEnd"/>
      <w:r w:rsidRPr="00A537E4">
        <w:t xml:space="preserve"> P5640 presented at: Annual Meeting of the American Academy of Dermatology; March 16-20, 2012; San Diego, CA.</w:t>
      </w:r>
    </w:p>
  </w:endnote>
  <w:endnote w:id="18">
    <w:p w:rsidR="00AA19B5" w:rsidRDefault="00AA19B5" w:rsidP="0018739E">
      <w:pPr>
        <w:pStyle w:val="EndnoteText"/>
        <w:ind w:left="180" w:hanging="180"/>
      </w:pPr>
      <w:r>
        <w:rPr>
          <w:rStyle w:val="EndnoteReference"/>
        </w:rPr>
        <w:endnoteRef/>
      </w:r>
      <w:r>
        <w:t xml:space="preserve"> PICATO (</w:t>
      </w:r>
      <w:proofErr w:type="spellStart"/>
      <w:r>
        <w:t>ingenol</w:t>
      </w:r>
      <w:proofErr w:type="spellEnd"/>
      <w:r>
        <w:t xml:space="preserve"> </w:t>
      </w:r>
      <w:proofErr w:type="spellStart"/>
      <w:r>
        <w:t>mebutate</w:t>
      </w:r>
      <w:proofErr w:type="spellEnd"/>
      <w:r>
        <w:t xml:space="preserve">) Gel Prescribing Information [online]. Rev 1/2012. Available at:  </w:t>
      </w:r>
      <w:hyperlink r:id="rId1" w:history="1">
        <w:r w:rsidRPr="00CC736C">
          <w:rPr>
            <w:rStyle w:val="Hyperlink"/>
          </w:rPr>
          <w:t>http://www.picato.com/_pdf/PrescribingInformation.pdf</w:t>
        </w:r>
      </w:hyperlink>
      <w:r>
        <w:t xml:space="preserve">. </w:t>
      </w:r>
      <w:proofErr w:type="gramStart"/>
      <w:r>
        <w:t>Accessed:  2/5/2014.</w:t>
      </w:r>
      <w:proofErr w:type="gramEnd"/>
    </w:p>
  </w:endnote>
  <w:endnote w:id="19">
    <w:p w:rsidR="00AA19B5" w:rsidRDefault="00AA19B5" w:rsidP="00212720">
      <w:pPr>
        <w:pStyle w:val="EndnoteText"/>
        <w:ind w:left="180" w:hanging="180"/>
      </w:pPr>
      <w:r>
        <w:rPr>
          <w:rStyle w:val="EndnoteReference"/>
        </w:rPr>
        <w:endnoteRef/>
      </w:r>
      <w:r>
        <w:t xml:space="preserve"> </w:t>
      </w:r>
      <w:proofErr w:type="spellStart"/>
      <w:r w:rsidRPr="00212720">
        <w:t>Lebwohl</w:t>
      </w:r>
      <w:proofErr w:type="spellEnd"/>
      <w:r w:rsidRPr="00212720">
        <w:t xml:space="preserve"> M, </w:t>
      </w:r>
      <w:proofErr w:type="spellStart"/>
      <w:r w:rsidRPr="00212720">
        <w:t>Shumack</w:t>
      </w:r>
      <w:proofErr w:type="spellEnd"/>
      <w:r w:rsidRPr="00212720">
        <w:t xml:space="preserve"> S, Stein Gold L, </w:t>
      </w:r>
      <w:proofErr w:type="spellStart"/>
      <w:r w:rsidRPr="00212720">
        <w:t>Melgaard</w:t>
      </w:r>
      <w:proofErr w:type="spellEnd"/>
      <w:r w:rsidRPr="00212720">
        <w:t xml:space="preserve"> A, Larsson T, </w:t>
      </w:r>
      <w:proofErr w:type="spellStart"/>
      <w:r w:rsidRPr="00212720">
        <w:t>Tyring</w:t>
      </w:r>
      <w:proofErr w:type="spellEnd"/>
      <w:r w:rsidRPr="00212720">
        <w:t xml:space="preserve"> SK.</w:t>
      </w:r>
      <w:r>
        <w:t xml:space="preserve"> </w:t>
      </w:r>
      <w:r w:rsidRPr="00212720">
        <w:t xml:space="preserve">Long-term follow-up study of </w:t>
      </w:r>
      <w:proofErr w:type="spellStart"/>
      <w:r w:rsidRPr="00212720">
        <w:rPr>
          <w:bCs/>
        </w:rPr>
        <w:t>ingenol</w:t>
      </w:r>
      <w:proofErr w:type="spellEnd"/>
      <w:r w:rsidRPr="00212720">
        <w:t xml:space="preserve"> </w:t>
      </w:r>
      <w:proofErr w:type="spellStart"/>
      <w:r w:rsidRPr="00212720">
        <w:t>mebutate</w:t>
      </w:r>
      <w:proofErr w:type="spellEnd"/>
      <w:r w:rsidRPr="00212720">
        <w:t xml:space="preserve"> gel for the treatment of actinic </w:t>
      </w:r>
      <w:proofErr w:type="spellStart"/>
      <w:r w:rsidRPr="00212720">
        <w:t>keratoses</w:t>
      </w:r>
      <w:proofErr w:type="spellEnd"/>
      <w:r w:rsidRPr="00212720">
        <w:t>.</w:t>
      </w:r>
      <w:r>
        <w:t xml:space="preserve"> </w:t>
      </w:r>
      <w:proofErr w:type="gramStart"/>
      <w:r w:rsidRPr="00212720">
        <w:t xml:space="preserve">JAMA </w:t>
      </w:r>
      <w:proofErr w:type="spellStart"/>
      <w:r w:rsidRPr="00212720">
        <w:t>Dermatol</w:t>
      </w:r>
      <w:proofErr w:type="spellEnd"/>
      <w:r w:rsidRPr="00212720">
        <w:t>.</w:t>
      </w:r>
      <w:proofErr w:type="gramEnd"/>
      <w:r w:rsidRPr="00212720">
        <w:t xml:space="preserve"> 2013 Jun;149(6):666-70</w:t>
      </w:r>
    </w:p>
  </w:endnote>
  <w:endnote w:id="20">
    <w:p w:rsidR="00AA19B5" w:rsidRDefault="00AA19B5" w:rsidP="006C0318">
      <w:pPr>
        <w:pStyle w:val="EndnoteText"/>
        <w:ind w:left="180" w:hanging="180"/>
      </w:pPr>
      <w:r>
        <w:rPr>
          <w:rStyle w:val="EndnoteReference"/>
        </w:rPr>
        <w:endnoteRef/>
      </w:r>
      <w:r>
        <w:t xml:space="preserve"> </w:t>
      </w:r>
      <w:proofErr w:type="gramStart"/>
      <w:r w:rsidRPr="006C0318">
        <w:t xml:space="preserve">Gupta AK, </w:t>
      </w:r>
      <w:proofErr w:type="spellStart"/>
      <w:r w:rsidRPr="006C0318">
        <w:t>PaquetM</w:t>
      </w:r>
      <w:proofErr w:type="spellEnd"/>
      <w:r w:rsidRPr="006C0318">
        <w:t xml:space="preserve">, Villanueva E, </w:t>
      </w:r>
      <w:proofErr w:type="spellStart"/>
      <w:r w:rsidRPr="006C0318">
        <w:t>BrintnellW</w:t>
      </w:r>
      <w:proofErr w:type="spellEnd"/>
      <w:r w:rsidRPr="006C0318">
        <w:t>.</w:t>
      </w:r>
      <w:proofErr w:type="gramEnd"/>
      <w:r w:rsidRPr="006C0318">
        <w:t xml:space="preserve"> </w:t>
      </w:r>
      <w:proofErr w:type="gramStart"/>
      <w:r w:rsidRPr="006C0318">
        <w:t xml:space="preserve">Interventions for actinic </w:t>
      </w:r>
      <w:proofErr w:type="spellStart"/>
      <w:r w:rsidRPr="006C0318">
        <w:t>keratoses</w:t>
      </w:r>
      <w:proofErr w:type="spellEnd"/>
      <w:r w:rsidRPr="006C0318">
        <w:t>.</w:t>
      </w:r>
      <w:proofErr w:type="gramEnd"/>
      <w:r w:rsidRPr="006C0318">
        <w:t xml:space="preserve"> </w:t>
      </w:r>
      <w:r w:rsidRPr="006C0318">
        <w:rPr>
          <w:i/>
          <w:iCs/>
        </w:rPr>
        <w:t>Cochrane Database of Systematic Reviews</w:t>
      </w:r>
      <w:r>
        <w:rPr>
          <w:i/>
          <w:iCs/>
        </w:rPr>
        <w:t xml:space="preserve"> </w:t>
      </w:r>
      <w:r w:rsidRPr="006C0318">
        <w:t>2012, Issue 12. Art. No.: CD004415. DOI: 10.1002/14651858.CD004415.pub2</w:t>
      </w:r>
    </w:p>
  </w:endnote>
  <w:endnote w:id="21">
    <w:p w:rsidR="00AA19B5" w:rsidRPr="005C7B06" w:rsidRDefault="00AA19B5" w:rsidP="005C7B06">
      <w:pPr>
        <w:pStyle w:val="EndnoteText"/>
        <w:ind w:left="180" w:hanging="180"/>
        <w:rPr>
          <w:i/>
        </w:rPr>
      </w:pPr>
      <w:r>
        <w:rPr>
          <w:rStyle w:val="EndnoteReference"/>
        </w:rPr>
        <w:endnoteRef/>
      </w:r>
      <w:r>
        <w:t xml:space="preserve"> </w:t>
      </w:r>
      <w:r w:rsidRPr="00207428">
        <w:t xml:space="preserve">Anderson L, </w:t>
      </w:r>
      <w:proofErr w:type="spellStart"/>
      <w:r w:rsidRPr="00207428">
        <w:t>Schmieder</w:t>
      </w:r>
      <w:proofErr w:type="spellEnd"/>
      <w:r w:rsidRPr="00207428">
        <w:t xml:space="preserve"> GJ, </w:t>
      </w:r>
      <w:proofErr w:type="spellStart"/>
      <w:r w:rsidRPr="00207428">
        <w:t>Werschler</w:t>
      </w:r>
      <w:proofErr w:type="spellEnd"/>
      <w:r w:rsidRPr="00207428">
        <w:t xml:space="preserve"> WP, </w:t>
      </w:r>
      <w:proofErr w:type="spellStart"/>
      <w:r w:rsidRPr="00207428">
        <w:t>Tschen</w:t>
      </w:r>
      <w:proofErr w:type="spellEnd"/>
      <w:r>
        <w:t xml:space="preserve"> </w:t>
      </w:r>
      <w:r w:rsidRPr="00207428">
        <w:t xml:space="preserve">EH, Ling MR, </w:t>
      </w:r>
      <w:proofErr w:type="spellStart"/>
      <w:r w:rsidRPr="00207428">
        <w:t>Stough</w:t>
      </w:r>
      <w:proofErr w:type="spellEnd"/>
      <w:r w:rsidRPr="00207428">
        <w:t xml:space="preserve"> DB, et </w:t>
      </w:r>
      <w:proofErr w:type="spellStart"/>
      <w:r w:rsidRPr="00207428">
        <w:t>al.Randomized</w:t>
      </w:r>
      <w:proofErr w:type="spellEnd"/>
      <w:r w:rsidRPr="00207428">
        <w:t xml:space="preserve">, </w:t>
      </w:r>
      <w:proofErr w:type="spellStart"/>
      <w:r w:rsidRPr="00207428">
        <w:t>doubleblind</w:t>
      </w:r>
      <w:proofErr w:type="spellEnd"/>
      <w:r w:rsidRPr="00207428">
        <w:t>,</w:t>
      </w:r>
      <w:r>
        <w:t xml:space="preserve"> </w:t>
      </w:r>
      <w:r w:rsidRPr="00207428">
        <w:t xml:space="preserve">double-dummy, vehicle controlled study of </w:t>
      </w:r>
      <w:proofErr w:type="spellStart"/>
      <w:r w:rsidRPr="00207428">
        <w:t>ingenol</w:t>
      </w:r>
      <w:proofErr w:type="spellEnd"/>
      <w:r>
        <w:t xml:space="preserve"> </w:t>
      </w:r>
      <w:proofErr w:type="spellStart"/>
      <w:r w:rsidRPr="00207428">
        <w:t>mebutate</w:t>
      </w:r>
      <w:proofErr w:type="spellEnd"/>
      <w:r w:rsidRPr="00207428">
        <w:t xml:space="preserve"> gel 0.025% and 0.05% for actinic keratosis.</w:t>
      </w:r>
      <w:r>
        <w:t xml:space="preserve"> </w:t>
      </w:r>
      <w:r w:rsidRPr="00207428">
        <w:rPr>
          <w:i/>
          <w:iCs/>
        </w:rPr>
        <w:t xml:space="preserve">Journal of the American Academy of Dermatology </w:t>
      </w:r>
      <w:r w:rsidRPr="00207428">
        <w:t>2009</w:t>
      </w:r>
      <w:proofErr w:type="gramStart"/>
      <w:r w:rsidRPr="00207428">
        <w:t>;</w:t>
      </w:r>
      <w:r w:rsidRPr="00207428">
        <w:rPr>
          <w:b/>
          <w:bCs/>
        </w:rPr>
        <w:t>60</w:t>
      </w:r>
      <w:proofErr w:type="gramEnd"/>
      <w:r w:rsidRPr="00207428">
        <w:t>(6):</w:t>
      </w:r>
      <w:r>
        <w:t xml:space="preserve"> </w:t>
      </w:r>
      <w:r w:rsidRPr="00207428">
        <w:t xml:space="preserve">934–43. </w:t>
      </w:r>
      <w:r>
        <w:rPr>
          <w:i/>
        </w:rPr>
        <w:t>[Citation from Cochrane Review by Gupta 2012]</w:t>
      </w:r>
    </w:p>
  </w:endnote>
  <w:endnote w:id="22">
    <w:p w:rsidR="00AA19B5" w:rsidRDefault="00AA19B5" w:rsidP="00D21453">
      <w:pPr>
        <w:pStyle w:val="EndnoteText"/>
        <w:ind w:left="180" w:hanging="180"/>
      </w:pPr>
      <w:r>
        <w:rPr>
          <w:rStyle w:val="EndnoteReference"/>
        </w:rPr>
        <w:endnoteRef/>
      </w:r>
      <w:r>
        <w:t xml:space="preserve"> </w:t>
      </w:r>
      <w:proofErr w:type="gramStart"/>
      <w:r w:rsidRPr="00D21453">
        <w:t>Swanson N. Multicenter, randomized, parallel-group,</w:t>
      </w:r>
      <w:r>
        <w:t xml:space="preserve"> </w:t>
      </w:r>
      <w:r w:rsidRPr="00D21453">
        <w:t>double-blind, vehicle-controlled study to evaluate the</w:t>
      </w:r>
      <w:r>
        <w:t xml:space="preserve"> </w:t>
      </w:r>
      <w:r w:rsidRPr="00D21453">
        <w:t>efficacy and safety of PEP005 (</w:t>
      </w:r>
      <w:proofErr w:type="spellStart"/>
      <w:r w:rsidRPr="00D21453">
        <w:t>ingenol</w:t>
      </w:r>
      <w:proofErr w:type="spellEnd"/>
      <w:r w:rsidRPr="00D21453">
        <w:t xml:space="preserve"> </w:t>
      </w:r>
      <w:proofErr w:type="spellStart"/>
      <w:r w:rsidRPr="00D21453">
        <w:t>mebutate</w:t>
      </w:r>
      <w:proofErr w:type="spellEnd"/>
      <w:r w:rsidRPr="00D21453">
        <w:t>) gel, 0.05%</w:t>
      </w:r>
      <w:r>
        <w:t xml:space="preserve"> </w:t>
      </w:r>
      <w:r w:rsidRPr="00D21453">
        <w:t xml:space="preserve">in patients with actinic </w:t>
      </w:r>
      <w:proofErr w:type="spellStart"/>
      <w:r w:rsidRPr="00D21453">
        <w:t>keratoses</w:t>
      </w:r>
      <w:proofErr w:type="spellEnd"/>
      <w:r w:rsidRPr="00D21453">
        <w:t xml:space="preserve"> on </w:t>
      </w:r>
      <w:proofErr w:type="spellStart"/>
      <w:r w:rsidRPr="00D21453">
        <w:t>nonhead</w:t>
      </w:r>
      <w:proofErr w:type="spellEnd"/>
      <w:r w:rsidRPr="00D21453">
        <w:t xml:space="preserve"> locations.</w:t>
      </w:r>
      <w:proofErr w:type="gramEnd"/>
      <w:r>
        <w:t xml:space="preserve"> </w:t>
      </w:r>
      <w:r w:rsidRPr="00D21453">
        <w:t>Journal of the American Academy of Dermatology 2010;</w:t>
      </w:r>
      <w:r>
        <w:t xml:space="preserve"> </w:t>
      </w:r>
      <w:r w:rsidRPr="00D21453">
        <w:t xml:space="preserve">Vol. 62, issue 3 </w:t>
      </w:r>
      <w:proofErr w:type="spellStart"/>
      <w:r w:rsidRPr="00D21453">
        <w:t>Suppl</w:t>
      </w:r>
      <w:proofErr w:type="spellEnd"/>
      <w:r w:rsidRPr="00D21453">
        <w:t xml:space="preserve"> 1:AB2.</w:t>
      </w:r>
      <w:r>
        <w:t xml:space="preserve"> Also:  </w:t>
      </w:r>
      <w:proofErr w:type="spellStart"/>
      <w:r w:rsidRPr="00D21453">
        <w:t>Lebwohl</w:t>
      </w:r>
      <w:proofErr w:type="spellEnd"/>
      <w:r w:rsidRPr="00D21453">
        <w:t xml:space="preserve"> M, Swanson N, Anderson LL, </w:t>
      </w:r>
      <w:proofErr w:type="spellStart"/>
      <w:r w:rsidRPr="00D21453">
        <w:t>Melgaard</w:t>
      </w:r>
      <w:proofErr w:type="spellEnd"/>
      <w:r w:rsidRPr="00D21453">
        <w:t xml:space="preserve"> A, Xu</w:t>
      </w:r>
      <w:r>
        <w:t xml:space="preserve"> </w:t>
      </w:r>
      <w:r w:rsidRPr="00D21453">
        <w:t xml:space="preserve">Z, Berman B. </w:t>
      </w:r>
      <w:proofErr w:type="spellStart"/>
      <w:r w:rsidRPr="00D21453">
        <w:t>Ingenol</w:t>
      </w:r>
      <w:proofErr w:type="spellEnd"/>
      <w:r w:rsidRPr="00D21453">
        <w:t xml:space="preserve"> </w:t>
      </w:r>
      <w:proofErr w:type="spellStart"/>
      <w:r w:rsidRPr="00D21453">
        <w:t>mebutate</w:t>
      </w:r>
      <w:proofErr w:type="spellEnd"/>
      <w:r w:rsidRPr="00D21453">
        <w:t xml:space="preserve"> gel for actinic keratosis.</w:t>
      </w:r>
      <w:r>
        <w:t xml:space="preserve"> </w:t>
      </w:r>
      <w:r w:rsidRPr="00D21453">
        <w:rPr>
          <w:i/>
          <w:iCs/>
        </w:rPr>
        <w:t xml:space="preserve">New England Journal of Medicine </w:t>
      </w:r>
      <w:r w:rsidRPr="00D21453">
        <w:t>2012</w:t>
      </w:r>
      <w:proofErr w:type="gramStart"/>
      <w:r w:rsidRPr="00D21453">
        <w:t>;</w:t>
      </w:r>
      <w:r w:rsidRPr="00D21453">
        <w:rPr>
          <w:b/>
          <w:bCs/>
        </w:rPr>
        <w:t>366</w:t>
      </w:r>
      <w:proofErr w:type="gramEnd"/>
      <w:r w:rsidRPr="00D21453">
        <w:t>(11):1010–19.</w:t>
      </w:r>
    </w:p>
  </w:endnote>
  <w:endnote w:id="23">
    <w:p w:rsidR="00AA19B5" w:rsidRDefault="00AA19B5" w:rsidP="00D21453">
      <w:pPr>
        <w:pStyle w:val="EndnoteText"/>
        <w:ind w:left="180" w:hanging="180"/>
      </w:pPr>
      <w:r>
        <w:rPr>
          <w:rStyle w:val="EndnoteReference"/>
        </w:rPr>
        <w:endnoteRef/>
      </w:r>
      <w:r>
        <w:t xml:space="preserve"> </w:t>
      </w:r>
      <w:proofErr w:type="spellStart"/>
      <w:r w:rsidRPr="005C7B06">
        <w:t>Siller</w:t>
      </w:r>
      <w:proofErr w:type="spellEnd"/>
      <w:r w:rsidRPr="005C7B06">
        <w:t xml:space="preserve"> G, </w:t>
      </w:r>
      <w:proofErr w:type="spellStart"/>
      <w:r w:rsidRPr="005C7B06">
        <w:t>Gebauer</w:t>
      </w:r>
      <w:proofErr w:type="spellEnd"/>
      <w:r w:rsidRPr="005C7B06">
        <w:t xml:space="preserve"> K, </w:t>
      </w:r>
      <w:proofErr w:type="spellStart"/>
      <w:r w:rsidRPr="005C7B06">
        <w:t>Welburn</w:t>
      </w:r>
      <w:proofErr w:type="spellEnd"/>
      <w:r w:rsidRPr="005C7B06">
        <w:t xml:space="preserve"> P, </w:t>
      </w:r>
      <w:proofErr w:type="spellStart"/>
      <w:r w:rsidRPr="005C7B06">
        <w:t>Katsamas</w:t>
      </w:r>
      <w:proofErr w:type="spellEnd"/>
      <w:r w:rsidRPr="005C7B06">
        <w:t xml:space="preserve"> J, </w:t>
      </w:r>
      <w:proofErr w:type="spellStart"/>
      <w:r w:rsidRPr="005C7B06">
        <w:t>Ogbourne</w:t>
      </w:r>
      <w:proofErr w:type="spellEnd"/>
      <w:r>
        <w:t xml:space="preserve"> </w:t>
      </w:r>
      <w:r w:rsidRPr="005C7B06">
        <w:t>SM. PEP005 (</w:t>
      </w:r>
      <w:proofErr w:type="spellStart"/>
      <w:r w:rsidRPr="005C7B06">
        <w:t>ingenol</w:t>
      </w:r>
      <w:proofErr w:type="spellEnd"/>
      <w:r w:rsidRPr="005C7B06">
        <w:t xml:space="preserve"> </w:t>
      </w:r>
      <w:proofErr w:type="spellStart"/>
      <w:r w:rsidRPr="005C7B06">
        <w:t>mebutate</w:t>
      </w:r>
      <w:proofErr w:type="spellEnd"/>
      <w:r w:rsidRPr="005C7B06">
        <w:t>) gel, a novel agent for the</w:t>
      </w:r>
      <w:r>
        <w:t xml:space="preserve"> </w:t>
      </w:r>
      <w:r w:rsidRPr="005C7B06">
        <w:t>treatment of actinic keratosis: results of a randomized,</w:t>
      </w:r>
      <w:r>
        <w:t xml:space="preserve"> </w:t>
      </w:r>
      <w:r w:rsidRPr="005C7B06">
        <w:t xml:space="preserve">double-blind, vehicle-controlled, </w:t>
      </w:r>
      <w:proofErr w:type="spellStart"/>
      <w:r w:rsidRPr="005C7B06">
        <w:t>multicentre</w:t>
      </w:r>
      <w:proofErr w:type="spellEnd"/>
      <w:r w:rsidRPr="005C7B06">
        <w:t xml:space="preserve">, phase </w:t>
      </w:r>
      <w:proofErr w:type="spellStart"/>
      <w:r w:rsidRPr="005C7B06">
        <w:t>IIa</w:t>
      </w:r>
      <w:proofErr w:type="spellEnd"/>
      <w:r>
        <w:t xml:space="preserve"> </w:t>
      </w:r>
      <w:r w:rsidRPr="005C7B06">
        <w:t xml:space="preserve">study. </w:t>
      </w:r>
      <w:r w:rsidRPr="005C7B06">
        <w:rPr>
          <w:i/>
          <w:iCs/>
        </w:rPr>
        <w:t xml:space="preserve">Australasian Journal of Dermatology </w:t>
      </w:r>
      <w:r w:rsidRPr="005C7B06">
        <w:t>2009</w:t>
      </w:r>
      <w:proofErr w:type="gramStart"/>
      <w:r w:rsidRPr="005C7B06">
        <w:t>;</w:t>
      </w:r>
      <w:r w:rsidRPr="005C7B06">
        <w:rPr>
          <w:b/>
          <w:bCs/>
        </w:rPr>
        <w:t>50</w:t>
      </w:r>
      <w:proofErr w:type="gramEnd"/>
      <w:r w:rsidRPr="005C7B06">
        <w:t>(1):16–22.</w:t>
      </w:r>
      <w:r>
        <w:t xml:space="preserve"> </w:t>
      </w:r>
      <w:r w:rsidRPr="005C7B06">
        <w:rPr>
          <w:i/>
        </w:rPr>
        <w:t>[Citation from Cochrane Review by Gupta 2012]</w:t>
      </w:r>
    </w:p>
  </w:endnote>
  <w:endnote w:id="24">
    <w:p w:rsidR="00AA19B5" w:rsidRDefault="00AA19B5" w:rsidP="00A74052">
      <w:pPr>
        <w:pStyle w:val="EndnoteText"/>
        <w:ind w:left="180" w:hanging="180"/>
      </w:pPr>
      <w:r>
        <w:rPr>
          <w:rStyle w:val="EndnoteReference"/>
        </w:rPr>
        <w:endnoteRef/>
      </w:r>
      <w:r>
        <w:t xml:space="preserve"> </w:t>
      </w:r>
      <w:r w:rsidRPr="008A16F5">
        <w:t xml:space="preserve">Development of a </w:t>
      </w:r>
      <w:r w:rsidRPr="009048AD">
        <w:rPr>
          <w:bCs/>
        </w:rPr>
        <w:t>treatment</w:t>
      </w:r>
      <w:r w:rsidRPr="008A16F5">
        <w:t xml:space="preserve"> algorithm for </w:t>
      </w:r>
      <w:r w:rsidRPr="009048AD">
        <w:rPr>
          <w:bCs/>
        </w:rPr>
        <w:t>actinic</w:t>
      </w:r>
      <w:r w:rsidRPr="008A16F5">
        <w:t xml:space="preserve"> </w:t>
      </w:r>
      <w:proofErr w:type="spellStart"/>
      <w:r w:rsidRPr="008A16F5">
        <w:t>keratoses</w:t>
      </w:r>
      <w:proofErr w:type="spellEnd"/>
      <w:r w:rsidRPr="008A16F5">
        <w:t xml:space="preserve">: a European Consensus. </w:t>
      </w:r>
      <w:proofErr w:type="spellStart"/>
      <w:r w:rsidRPr="008A16F5">
        <w:t>Stockfleth</w:t>
      </w:r>
      <w:proofErr w:type="spellEnd"/>
      <w:r w:rsidRPr="008A16F5">
        <w:t xml:space="preserve"> E, </w:t>
      </w:r>
      <w:proofErr w:type="spellStart"/>
      <w:r w:rsidRPr="008A16F5">
        <w:t>Ferrandiz</w:t>
      </w:r>
      <w:proofErr w:type="spellEnd"/>
      <w:r w:rsidRPr="008A16F5">
        <w:t xml:space="preserve"> C, </w:t>
      </w:r>
      <w:proofErr w:type="spellStart"/>
      <w:r w:rsidRPr="008A16F5">
        <w:t>Grob</w:t>
      </w:r>
      <w:proofErr w:type="spellEnd"/>
      <w:r w:rsidRPr="008A16F5">
        <w:t xml:space="preserve"> JJ, Leigh I, </w:t>
      </w:r>
      <w:proofErr w:type="spellStart"/>
      <w:r w:rsidRPr="008A16F5">
        <w:t>Pehamberger</w:t>
      </w:r>
      <w:proofErr w:type="spellEnd"/>
      <w:r w:rsidRPr="008A16F5">
        <w:t xml:space="preserve"> H, </w:t>
      </w:r>
      <w:proofErr w:type="spellStart"/>
      <w:r w:rsidRPr="008A16F5">
        <w:t>Kerl</w:t>
      </w:r>
      <w:proofErr w:type="spellEnd"/>
      <w:r w:rsidRPr="008A16F5">
        <w:t xml:space="preserve"> H; </w:t>
      </w:r>
      <w:r w:rsidRPr="009048AD">
        <w:t>European Skin Academy</w:t>
      </w:r>
      <w:r w:rsidRPr="008A16F5">
        <w:t xml:space="preserve">. </w:t>
      </w:r>
      <w:proofErr w:type="spellStart"/>
      <w:r w:rsidRPr="008A16F5">
        <w:t>Eur</w:t>
      </w:r>
      <w:proofErr w:type="spellEnd"/>
      <w:r w:rsidRPr="008A16F5">
        <w:t xml:space="preserve"> J </w:t>
      </w:r>
      <w:proofErr w:type="spellStart"/>
      <w:r w:rsidRPr="008A16F5">
        <w:t>Dermatol</w:t>
      </w:r>
      <w:proofErr w:type="spellEnd"/>
      <w:r w:rsidRPr="008A16F5">
        <w:t>. 2008 Nov-Dec</w:t>
      </w:r>
      <w:proofErr w:type="gramStart"/>
      <w:r w:rsidRPr="008A16F5">
        <w:t>;18</w:t>
      </w:r>
      <w:proofErr w:type="gramEnd"/>
      <w:r w:rsidRPr="008A16F5">
        <w:t>(6):651-9.</w:t>
      </w:r>
    </w:p>
  </w:endnote>
  <w:endnote w:id="25">
    <w:p w:rsidR="00AA19B5" w:rsidRDefault="00AA19B5" w:rsidP="009048AD">
      <w:pPr>
        <w:pStyle w:val="EndnoteText"/>
        <w:ind w:left="180" w:hanging="180"/>
      </w:pPr>
      <w:r>
        <w:rPr>
          <w:rStyle w:val="EndnoteReference"/>
        </w:rPr>
        <w:endnoteRef/>
      </w:r>
      <w:r>
        <w:t xml:space="preserve"> </w:t>
      </w:r>
      <w:proofErr w:type="spellStart"/>
      <w:r w:rsidRPr="009048AD">
        <w:t>Hofbauer</w:t>
      </w:r>
      <w:proofErr w:type="spellEnd"/>
      <w:r w:rsidRPr="009048AD">
        <w:t xml:space="preserve"> GF, </w:t>
      </w:r>
      <w:proofErr w:type="spellStart"/>
      <w:r w:rsidRPr="009048AD">
        <w:t>Anliker</w:t>
      </w:r>
      <w:proofErr w:type="spellEnd"/>
      <w:r w:rsidRPr="009048AD">
        <w:t xml:space="preserve"> M, Arnold A, </w:t>
      </w:r>
      <w:proofErr w:type="spellStart"/>
      <w:r w:rsidRPr="009048AD">
        <w:t>Binet</w:t>
      </w:r>
      <w:proofErr w:type="spellEnd"/>
      <w:r w:rsidRPr="009048AD">
        <w:t xml:space="preserve"> I, Hunger R, </w:t>
      </w:r>
      <w:proofErr w:type="spellStart"/>
      <w:r w:rsidRPr="009048AD">
        <w:t>Kempf</w:t>
      </w:r>
      <w:proofErr w:type="spellEnd"/>
      <w:r w:rsidRPr="009048AD">
        <w:t xml:space="preserve"> W, </w:t>
      </w:r>
      <w:proofErr w:type="spellStart"/>
      <w:r w:rsidRPr="009048AD">
        <w:t>Laffitte</w:t>
      </w:r>
      <w:proofErr w:type="spellEnd"/>
      <w:r w:rsidRPr="009048AD">
        <w:t xml:space="preserve"> E, </w:t>
      </w:r>
      <w:proofErr w:type="spellStart"/>
      <w:r w:rsidRPr="009048AD">
        <w:t>Lapointe</w:t>
      </w:r>
      <w:proofErr w:type="spellEnd"/>
      <w:r w:rsidRPr="009048AD">
        <w:t xml:space="preserve"> AC, </w:t>
      </w:r>
      <w:proofErr w:type="spellStart"/>
      <w:r w:rsidRPr="009048AD">
        <w:t>Pascual</w:t>
      </w:r>
      <w:proofErr w:type="spellEnd"/>
      <w:r w:rsidRPr="009048AD">
        <w:t xml:space="preserve"> M, </w:t>
      </w:r>
      <w:proofErr w:type="spellStart"/>
      <w:r w:rsidRPr="009048AD">
        <w:t>Pelloni</w:t>
      </w:r>
      <w:proofErr w:type="spellEnd"/>
      <w:r w:rsidRPr="009048AD">
        <w:t xml:space="preserve"> F, Serra A; SGDV working group for organ transplant recipients.</w:t>
      </w:r>
      <w:r>
        <w:t xml:space="preserve"> </w:t>
      </w:r>
      <w:r w:rsidRPr="009048AD">
        <w:t>Swiss clinical practice guidelines for skin cancer in organ transplant recipients.</w:t>
      </w:r>
      <w:r>
        <w:t xml:space="preserve"> </w:t>
      </w:r>
      <w:r w:rsidRPr="009048AD">
        <w:t>Swiss Med Wkly. 2009 Jul 25;139(29-30):407-15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6" w:space="0" w:color="auto"/>
      </w:tblBorders>
      <w:tblLook w:val="00E0" w:firstRow="1" w:lastRow="1" w:firstColumn="1" w:lastColumn="0" w:noHBand="0" w:noVBand="0"/>
    </w:tblPr>
    <w:tblGrid>
      <w:gridCol w:w="8078"/>
      <w:gridCol w:w="313"/>
      <w:gridCol w:w="1905"/>
    </w:tblGrid>
    <w:tr w:rsidR="00AA19B5">
      <w:tc>
        <w:tcPr>
          <w:tcW w:w="3923" w:type="pct"/>
        </w:tcPr>
        <w:p w:rsidR="00AA19B5" w:rsidRDefault="00AA19B5" w:rsidP="003761BC">
          <w:pPr>
            <w:pStyle w:val="Footer"/>
            <w:rPr>
              <w:i/>
              <w:iCs/>
            </w:rPr>
          </w:pPr>
          <w:r>
            <w:rPr>
              <w:i/>
              <w:iCs/>
            </w:rPr>
            <w:t xml:space="preserve">Updated version may be found at </w:t>
          </w:r>
          <w:hyperlink r:id="rId1" w:history="1">
            <w:r w:rsidRPr="00C449BC">
              <w:rPr>
                <w:rStyle w:val="Hyperlink"/>
                <w:i/>
                <w:iCs/>
              </w:rPr>
              <w:t>www.pbm.va.gov</w:t>
            </w:r>
          </w:hyperlink>
          <w:r>
            <w:rPr>
              <w:i/>
              <w:iCs/>
            </w:rPr>
            <w:t xml:space="preserve"> or vaww.pbm.va.gov</w:t>
          </w:r>
        </w:p>
      </w:tc>
      <w:tc>
        <w:tcPr>
          <w:tcW w:w="152" w:type="pct"/>
        </w:tcPr>
        <w:p w:rsidR="00AA19B5" w:rsidRDefault="00AA19B5">
          <w:pPr>
            <w:pStyle w:val="Footer"/>
          </w:pPr>
        </w:p>
      </w:tc>
      <w:tc>
        <w:tcPr>
          <w:tcW w:w="925" w:type="pct"/>
        </w:tcPr>
        <w:p w:rsidR="00AA19B5" w:rsidRDefault="00AA19B5">
          <w:pPr>
            <w:pStyle w:val="Footer"/>
            <w:jc w:val="right"/>
          </w:pPr>
          <w:r>
            <w:rPr>
              <w:rStyle w:val="PageNumber"/>
            </w:rPr>
            <w:fldChar w:fldCharType="begin"/>
          </w:r>
          <w:r>
            <w:rPr>
              <w:rStyle w:val="PageNumber"/>
            </w:rPr>
            <w:instrText xml:space="preserve"> PAGE </w:instrText>
          </w:r>
          <w:r>
            <w:rPr>
              <w:rStyle w:val="PageNumber"/>
            </w:rPr>
            <w:fldChar w:fldCharType="separate"/>
          </w:r>
          <w:r w:rsidR="00017C36">
            <w:rPr>
              <w:rStyle w:val="PageNumber"/>
              <w:noProof/>
            </w:rPr>
            <w:t>16</w:t>
          </w:r>
          <w:r>
            <w:rPr>
              <w:rStyle w:val="PageNumber"/>
            </w:rPr>
            <w:fldChar w:fldCharType="end"/>
          </w:r>
        </w:p>
      </w:tc>
    </w:tr>
  </w:tbl>
  <w:p w:rsidR="00AA19B5" w:rsidRDefault="00AA19B5" w:rsidP="00017C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6" w:space="0" w:color="auto"/>
      </w:tblBorders>
      <w:tblLook w:val="00E0" w:firstRow="1" w:lastRow="1" w:firstColumn="1" w:lastColumn="0" w:noHBand="0" w:noVBand="0"/>
    </w:tblPr>
    <w:tblGrid>
      <w:gridCol w:w="6949"/>
      <w:gridCol w:w="269"/>
      <w:gridCol w:w="1638"/>
    </w:tblGrid>
    <w:tr w:rsidR="00AA19B5">
      <w:tc>
        <w:tcPr>
          <w:tcW w:w="3923" w:type="pct"/>
        </w:tcPr>
        <w:p w:rsidR="00AA19B5" w:rsidRDefault="00AA19B5">
          <w:pPr>
            <w:pStyle w:val="Footer"/>
          </w:pPr>
        </w:p>
      </w:tc>
      <w:tc>
        <w:tcPr>
          <w:tcW w:w="152" w:type="pct"/>
        </w:tcPr>
        <w:p w:rsidR="00AA19B5" w:rsidRDefault="00AA19B5">
          <w:pPr>
            <w:pStyle w:val="Footer"/>
          </w:pPr>
        </w:p>
      </w:tc>
      <w:tc>
        <w:tcPr>
          <w:tcW w:w="925" w:type="pct"/>
        </w:tcPr>
        <w:p w:rsidR="00AA19B5" w:rsidRDefault="00AA19B5">
          <w:pPr>
            <w:pStyle w:val="Footer"/>
            <w:jc w:val="right"/>
          </w:pPr>
          <w:r>
            <w:t>DRAFT</w:t>
          </w:r>
        </w:p>
      </w:tc>
    </w:tr>
    <w:tr w:rsidR="00AA19B5">
      <w:tc>
        <w:tcPr>
          <w:tcW w:w="3923" w:type="pct"/>
        </w:tcPr>
        <w:p w:rsidR="00AA19B5" w:rsidRDefault="00AA19B5" w:rsidP="00651852">
          <w:pPr>
            <w:pStyle w:val="Footer"/>
            <w:rPr>
              <w:i/>
              <w:iCs/>
            </w:rPr>
          </w:pPr>
          <w:r>
            <w:rPr>
              <w:i/>
              <w:iCs/>
            </w:rPr>
            <w:t xml:space="preserve">Updated version may be found at </w:t>
          </w:r>
          <w:hyperlink r:id="rId1" w:history="1">
            <w:r w:rsidRPr="00DF64B7">
              <w:rPr>
                <w:rStyle w:val="Hyperlink"/>
                <w:i/>
                <w:iCs/>
              </w:rPr>
              <w:t>www.pbm.va.gov</w:t>
            </w:r>
          </w:hyperlink>
          <w:r>
            <w:rPr>
              <w:i/>
              <w:iCs/>
            </w:rPr>
            <w:t xml:space="preserve"> or vaww.pbm.va.gov</w:t>
          </w:r>
        </w:p>
      </w:tc>
      <w:tc>
        <w:tcPr>
          <w:tcW w:w="152" w:type="pct"/>
        </w:tcPr>
        <w:p w:rsidR="00AA19B5" w:rsidRDefault="00AA19B5">
          <w:pPr>
            <w:pStyle w:val="Footer"/>
          </w:pPr>
        </w:p>
      </w:tc>
      <w:tc>
        <w:tcPr>
          <w:tcW w:w="925" w:type="pct"/>
        </w:tcPr>
        <w:p w:rsidR="00AA19B5" w:rsidRDefault="00AA19B5">
          <w:pPr>
            <w:pStyle w:val="Footer"/>
            <w:jc w:val="right"/>
          </w:pPr>
          <w:r>
            <w:rPr>
              <w:rStyle w:val="PageNumber"/>
            </w:rPr>
            <w:fldChar w:fldCharType="begin"/>
          </w:r>
          <w:r>
            <w:rPr>
              <w:rStyle w:val="PageNumber"/>
            </w:rPr>
            <w:instrText xml:space="preserve"> PAGE </w:instrText>
          </w:r>
          <w:r>
            <w:rPr>
              <w:rStyle w:val="PageNumber"/>
            </w:rPr>
            <w:fldChar w:fldCharType="separate"/>
          </w:r>
          <w:r w:rsidR="00017C36">
            <w:rPr>
              <w:rStyle w:val="PageNumber"/>
              <w:noProof/>
            </w:rPr>
            <w:t>17</w:t>
          </w:r>
          <w:r>
            <w:rPr>
              <w:rStyle w:val="PageNumber"/>
            </w:rPr>
            <w:fldChar w:fldCharType="end"/>
          </w:r>
        </w:p>
      </w:tc>
    </w:tr>
  </w:tbl>
  <w:p w:rsidR="00AA19B5" w:rsidRDefault="00AA19B5">
    <w:pPr>
      <w:pStyle w:val="Footer"/>
    </w:pPr>
    <w:r>
      <w:rPr>
        <w:iCs/>
        <w:snapToGrid w:val="0"/>
      </w:rPr>
      <w:t>Portions of these documents or records, or information contained herein, which resulted from Pharmacy Benefits Management Drug Usage Evaluation and Utilization Review activities, may be considered confidential and privileged under the provisions of 38 U.S.C. 5705 and its implementing regulations.  In such cases, this material shall not be disclosed to anyone without authorization as provided for by that law or its regulations.  The statute provides for fines up to $20,000 for unauthorized disclosure.</w:t>
    </w:r>
  </w:p>
  <w:p w:rsidR="00AA19B5" w:rsidRDefault="00AA19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9B5" w:rsidRDefault="00AA19B5">
      <w:r>
        <w:separator/>
      </w:r>
    </w:p>
  </w:footnote>
  <w:footnote w:type="continuationSeparator" w:id="0">
    <w:p w:rsidR="00AA19B5" w:rsidRDefault="00AA1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299"/>
      <w:gridCol w:w="315"/>
      <w:gridCol w:w="3682"/>
    </w:tblGrid>
    <w:tr w:rsidR="00AA19B5" w:rsidTr="009C0F2B">
      <w:tc>
        <w:tcPr>
          <w:tcW w:w="3059" w:type="pct"/>
        </w:tcPr>
        <w:p w:rsidR="00AA19B5" w:rsidRDefault="00AA19B5" w:rsidP="009C0F2B">
          <w:pPr>
            <w:pStyle w:val="Header"/>
            <w:rPr>
              <w:b/>
              <w:bCs/>
              <w:sz w:val="16"/>
            </w:rPr>
          </w:pPr>
          <w:r>
            <w:rPr>
              <w:b/>
              <w:bCs/>
              <w:sz w:val="16"/>
            </w:rPr>
            <w:t xml:space="preserve"> </w:t>
          </w:r>
        </w:p>
      </w:tc>
      <w:tc>
        <w:tcPr>
          <w:tcW w:w="153" w:type="pct"/>
        </w:tcPr>
        <w:p w:rsidR="00AA19B5" w:rsidRDefault="00AA19B5" w:rsidP="009C0F2B">
          <w:pPr>
            <w:pStyle w:val="Header"/>
          </w:pPr>
        </w:p>
      </w:tc>
      <w:tc>
        <w:tcPr>
          <w:tcW w:w="1788" w:type="pct"/>
        </w:tcPr>
        <w:p w:rsidR="00AA19B5" w:rsidRDefault="00017C36" w:rsidP="00017C36">
          <w:pPr>
            <w:pStyle w:val="Header"/>
            <w:jc w:val="right"/>
            <w:rPr>
              <w:sz w:val="16"/>
            </w:rPr>
          </w:pPr>
          <w:proofErr w:type="spellStart"/>
          <w:r>
            <w:rPr>
              <w:i/>
              <w:iCs/>
              <w:sz w:val="16"/>
            </w:rPr>
            <w:t>Ingenol</w:t>
          </w:r>
          <w:proofErr w:type="spellEnd"/>
          <w:r>
            <w:rPr>
              <w:i/>
              <w:iCs/>
              <w:sz w:val="16"/>
            </w:rPr>
            <w:t xml:space="preserve"> </w:t>
          </w:r>
          <w:proofErr w:type="spellStart"/>
          <w:r>
            <w:rPr>
              <w:i/>
              <w:iCs/>
              <w:sz w:val="16"/>
            </w:rPr>
            <w:t>Mebutate</w:t>
          </w:r>
          <w:proofErr w:type="spellEnd"/>
          <w:r w:rsidR="00AA19B5">
            <w:rPr>
              <w:i/>
              <w:iCs/>
              <w:sz w:val="16"/>
            </w:rPr>
            <w:t xml:space="preserve"> Monograph</w:t>
          </w:r>
        </w:p>
      </w:tc>
    </w:tr>
  </w:tbl>
  <w:p w:rsidR="00AA19B5" w:rsidRPr="00D93D73" w:rsidRDefault="00AA19B5" w:rsidP="00017C36">
    <w:pPr>
      <w:pStyle w:val="Header"/>
      <w:spacing w:before="0" w:after="0"/>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9B5" w:rsidRDefault="00AA19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5418"/>
      <w:gridCol w:w="271"/>
      <w:gridCol w:w="3167"/>
    </w:tblGrid>
    <w:tr w:rsidR="00AA19B5" w:rsidTr="00D678D3">
      <w:tc>
        <w:tcPr>
          <w:tcW w:w="3059" w:type="pct"/>
        </w:tcPr>
        <w:p w:rsidR="00AA19B5" w:rsidRDefault="00AA19B5" w:rsidP="00BA4CAE">
          <w:pPr>
            <w:pStyle w:val="Header"/>
            <w:rPr>
              <w:b/>
              <w:bCs/>
              <w:sz w:val="16"/>
            </w:rPr>
          </w:pPr>
          <w:r>
            <w:rPr>
              <w:b/>
              <w:bCs/>
              <w:sz w:val="16"/>
            </w:rPr>
            <w:t xml:space="preserve">STRICTLY CONFIDENTIAL PRE-DECISIONAL DELIBERATION INFORMATION </w:t>
          </w:r>
        </w:p>
      </w:tc>
      <w:tc>
        <w:tcPr>
          <w:tcW w:w="153" w:type="pct"/>
        </w:tcPr>
        <w:p w:rsidR="00AA19B5" w:rsidRDefault="00AA19B5">
          <w:pPr>
            <w:pStyle w:val="Header"/>
          </w:pPr>
        </w:p>
      </w:tc>
      <w:tc>
        <w:tcPr>
          <w:tcW w:w="1788" w:type="pct"/>
        </w:tcPr>
        <w:p w:rsidR="00AA19B5" w:rsidRDefault="00AA19B5">
          <w:pPr>
            <w:pStyle w:val="Header"/>
            <w:jc w:val="right"/>
            <w:rPr>
              <w:sz w:val="16"/>
            </w:rPr>
          </w:pPr>
          <w:r>
            <w:rPr>
              <w:i/>
              <w:iCs/>
              <w:sz w:val="16"/>
            </w:rPr>
            <w:t>Insert Generic Drug Name Here  Monograph</w:t>
          </w:r>
        </w:p>
      </w:tc>
    </w:tr>
  </w:tbl>
  <w:p w:rsidR="00AA19B5" w:rsidRDefault="00AA19B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9B5" w:rsidRDefault="00AA19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598A012"/>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F6FE1E90"/>
    <w:lvl w:ilvl="0">
      <w:start w:val="1"/>
      <w:numFmt w:val="bullet"/>
      <w:lvlText w:val=""/>
      <w:lvlJc w:val="left"/>
      <w:pPr>
        <w:tabs>
          <w:tab w:val="num" w:pos="360"/>
        </w:tabs>
        <w:ind w:left="360" w:hanging="360"/>
      </w:pPr>
      <w:rPr>
        <w:rFonts w:ascii="Symbol" w:hAnsi="Symbol" w:hint="default"/>
      </w:rPr>
    </w:lvl>
  </w:abstractNum>
  <w:abstractNum w:abstractNumId="2">
    <w:nsid w:val="0685427B"/>
    <w:multiLevelType w:val="singleLevel"/>
    <w:tmpl w:val="DF405A5A"/>
    <w:lvl w:ilvl="0">
      <w:start w:val="1"/>
      <w:numFmt w:val="bullet"/>
      <w:lvlText w:val=""/>
      <w:lvlJc w:val="left"/>
      <w:pPr>
        <w:tabs>
          <w:tab w:val="num" w:pos="360"/>
        </w:tabs>
        <w:ind w:left="360" w:hanging="360"/>
      </w:pPr>
      <w:rPr>
        <w:rFonts w:ascii="Symbol" w:hAnsi="Symbol" w:hint="default"/>
        <w:b w:val="0"/>
        <w:i w:val="0"/>
        <w:sz w:val="20"/>
      </w:rPr>
    </w:lvl>
  </w:abstractNum>
  <w:abstractNum w:abstractNumId="3">
    <w:nsid w:val="0B475337"/>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0D342CE3"/>
    <w:multiLevelType w:val="singleLevel"/>
    <w:tmpl w:val="C06EBC98"/>
    <w:lvl w:ilvl="0">
      <w:start w:val="1"/>
      <w:numFmt w:val="bullet"/>
      <w:lvlText w:val=""/>
      <w:lvlJc w:val="left"/>
      <w:pPr>
        <w:tabs>
          <w:tab w:val="num" w:pos="720"/>
        </w:tabs>
        <w:ind w:left="720" w:hanging="360"/>
      </w:pPr>
      <w:rPr>
        <w:rFonts w:ascii="Wingdings" w:hAnsi="Wingdings" w:hint="default"/>
      </w:rPr>
    </w:lvl>
  </w:abstractNum>
  <w:abstractNum w:abstractNumId="5">
    <w:nsid w:val="0FD91B41"/>
    <w:multiLevelType w:val="singleLevel"/>
    <w:tmpl w:val="F410D352"/>
    <w:lvl w:ilvl="0">
      <w:start w:val="1"/>
      <w:numFmt w:val="bullet"/>
      <w:lvlText w:val=""/>
      <w:lvlJc w:val="left"/>
      <w:pPr>
        <w:tabs>
          <w:tab w:val="num" w:pos="360"/>
        </w:tabs>
        <w:ind w:left="360" w:hanging="360"/>
      </w:pPr>
      <w:rPr>
        <w:rFonts w:ascii="Symbol" w:hAnsi="Symbol" w:hint="default"/>
        <w:b w:val="0"/>
        <w:i w:val="0"/>
        <w:sz w:val="20"/>
      </w:rPr>
    </w:lvl>
  </w:abstractNum>
  <w:abstractNum w:abstractNumId="6">
    <w:nsid w:val="11C60437"/>
    <w:multiLevelType w:val="multilevel"/>
    <w:tmpl w:val="C676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663DC7"/>
    <w:multiLevelType w:val="multilevel"/>
    <w:tmpl w:val="6DC6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174B27"/>
    <w:multiLevelType w:val="hybridMultilevel"/>
    <w:tmpl w:val="96862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A4317C"/>
    <w:multiLevelType w:val="singleLevel"/>
    <w:tmpl w:val="C06EBC98"/>
    <w:lvl w:ilvl="0">
      <w:start w:val="1"/>
      <w:numFmt w:val="bullet"/>
      <w:lvlText w:val=""/>
      <w:lvlJc w:val="left"/>
      <w:pPr>
        <w:tabs>
          <w:tab w:val="num" w:pos="720"/>
        </w:tabs>
        <w:ind w:left="720" w:hanging="360"/>
      </w:pPr>
      <w:rPr>
        <w:rFonts w:ascii="Wingdings" w:hAnsi="Wingdings" w:hint="default"/>
      </w:rPr>
    </w:lvl>
  </w:abstractNum>
  <w:abstractNum w:abstractNumId="10">
    <w:nsid w:val="29211763"/>
    <w:multiLevelType w:val="singleLevel"/>
    <w:tmpl w:val="F410D352"/>
    <w:lvl w:ilvl="0">
      <w:start w:val="1"/>
      <w:numFmt w:val="bullet"/>
      <w:lvlText w:val=""/>
      <w:lvlJc w:val="left"/>
      <w:pPr>
        <w:tabs>
          <w:tab w:val="num" w:pos="360"/>
        </w:tabs>
        <w:ind w:left="360" w:hanging="360"/>
      </w:pPr>
      <w:rPr>
        <w:rFonts w:ascii="Symbol" w:hAnsi="Symbol" w:hint="default"/>
        <w:b w:val="0"/>
        <w:i w:val="0"/>
        <w:sz w:val="20"/>
      </w:rPr>
    </w:lvl>
  </w:abstractNum>
  <w:abstractNum w:abstractNumId="11">
    <w:nsid w:val="2AC87C5A"/>
    <w:multiLevelType w:val="singleLevel"/>
    <w:tmpl w:val="DF405A5A"/>
    <w:lvl w:ilvl="0">
      <w:start w:val="1"/>
      <w:numFmt w:val="bullet"/>
      <w:lvlText w:val=""/>
      <w:lvlJc w:val="left"/>
      <w:pPr>
        <w:tabs>
          <w:tab w:val="num" w:pos="360"/>
        </w:tabs>
        <w:ind w:left="360" w:hanging="360"/>
      </w:pPr>
      <w:rPr>
        <w:rFonts w:ascii="Symbol" w:hAnsi="Symbol" w:hint="default"/>
        <w:b w:val="0"/>
        <w:i w:val="0"/>
        <w:sz w:val="20"/>
      </w:rPr>
    </w:lvl>
  </w:abstractNum>
  <w:abstractNum w:abstractNumId="12">
    <w:nsid w:val="2B372936"/>
    <w:multiLevelType w:val="hybridMultilevel"/>
    <w:tmpl w:val="5510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7757D1"/>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32CB62A3"/>
    <w:multiLevelType w:val="hybridMultilevel"/>
    <w:tmpl w:val="C172CE6E"/>
    <w:lvl w:ilvl="0" w:tplc="421A59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C7781E"/>
    <w:multiLevelType w:val="singleLevel"/>
    <w:tmpl w:val="0264F85E"/>
    <w:lvl w:ilvl="0">
      <w:start w:val="1"/>
      <w:numFmt w:val="bullet"/>
      <w:lvlText w:val=""/>
      <w:lvlJc w:val="left"/>
      <w:pPr>
        <w:tabs>
          <w:tab w:val="num" w:pos="720"/>
        </w:tabs>
        <w:ind w:left="720" w:hanging="360"/>
      </w:pPr>
      <w:rPr>
        <w:rFonts w:ascii="Wingdings" w:hAnsi="Wingdings" w:hint="default"/>
      </w:rPr>
    </w:lvl>
  </w:abstractNum>
  <w:abstractNum w:abstractNumId="16">
    <w:nsid w:val="375C12B2"/>
    <w:multiLevelType w:val="hybridMultilevel"/>
    <w:tmpl w:val="83282A68"/>
    <w:lvl w:ilvl="0" w:tplc="6102083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BD265C"/>
    <w:multiLevelType w:val="hybridMultilevel"/>
    <w:tmpl w:val="B19AE4F6"/>
    <w:lvl w:ilvl="0" w:tplc="421A59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001F03"/>
    <w:multiLevelType w:val="hybridMultilevel"/>
    <w:tmpl w:val="61348AB0"/>
    <w:lvl w:ilvl="0" w:tplc="02641A04">
      <w:start w:val="1"/>
      <w:numFmt w:val="bullet"/>
      <w:pStyle w:val="ListBullet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E476D4B"/>
    <w:multiLevelType w:val="multilevel"/>
    <w:tmpl w:val="2C00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011DE5"/>
    <w:multiLevelType w:val="hybridMultilevel"/>
    <w:tmpl w:val="7E82B324"/>
    <w:lvl w:ilvl="0" w:tplc="0FBACF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3C6C32"/>
    <w:multiLevelType w:val="singleLevel"/>
    <w:tmpl w:val="C06EBC98"/>
    <w:lvl w:ilvl="0">
      <w:start w:val="1"/>
      <w:numFmt w:val="bullet"/>
      <w:lvlText w:val=""/>
      <w:lvlJc w:val="left"/>
      <w:pPr>
        <w:tabs>
          <w:tab w:val="num" w:pos="720"/>
        </w:tabs>
        <w:ind w:left="720" w:hanging="360"/>
      </w:pPr>
      <w:rPr>
        <w:rFonts w:ascii="Wingdings" w:hAnsi="Wingdings" w:hint="default"/>
      </w:rPr>
    </w:lvl>
  </w:abstractNum>
  <w:abstractNum w:abstractNumId="22">
    <w:nsid w:val="484A78CA"/>
    <w:multiLevelType w:val="singleLevel"/>
    <w:tmpl w:val="F410D352"/>
    <w:lvl w:ilvl="0">
      <w:start w:val="1"/>
      <w:numFmt w:val="bullet"/>
      <w:lvlText w:val=""/>
      <w:lvlJc w:val="left"/>
      <w:pPr>
        <w:tabs>
          <w:tab w:val="num" w:pos="360"/>
        </w:tabs>
        <w:ind w:left="360" w:hanging="360"/>
      </w:pPr>
      <w:rPr>
        <w:rFonts w:ascii="Symbol" w:hAnsi="Symbol" w:hint="default"/>
        <w:b w:val="0"/>
        <w:i w:val="0"/>
        <w:sz w:val="20"/>
      </w:rPr>
    </w:lvl>
  </w:abstractNum>
  <w:abstractNum w:abstractNumId="23">
    <w:nsid w:val="4E9868A7"/>
    <w:multiLevelType w:val="singleLevel"/>
    <w:tmpl w:val="C06EBC98"/>
    <w:lvl w:ilvl="0">
      <w:start w:val="1"/>
      <w:numFmt w:val="bullet"/>
      <w:lvlText w:val=""/>
      <w:lvlJc w:val="left"/>
      <w:pPr>
        <w:tabs>
          <w:tab w:val="num" w:pos="720"/>
        </w:tabs>
        <w:ind w:left="720" w:hanging="360"/>
      </w:pPr>
      <w:rPr>
        <w:rFonts w:ascii="Wingdings" w:hAnsi="Wingdings" w:hint="default"/>
      </w:rPr>
    </w:lvl>
  </w:abstractNum>
  <w:abstractNum w:abstractNumId="24">
    <w:nsid w:val="51376D19"/>
    <w:multiLevelType w:val="multilevel"/>
    <w:tmpl w:val="5EA4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6B2658"/>
    <w:multiLevelType w:val="singleLevel"/>
    <w:tmpl w:val="0264F85E"/>
    <w:lvl w:ilvl="0">
      <w:start w:val="1"/>
      <w:numFmt w:val="bullet"/>
      <w:lvlText w:val=""/>
      <w:lvlJc w:val="left"/>
      <w:pPr>
        <w:tabs>
          <w:tab w:val="num" w:pos="720"/>
        </w:tabs>
        <w:ind w:left="720" w:hanging="360"/>
      </w:pPr>
      <w:rPr>
        <w:rFonts w:ascii="Wingdings" w:hAnsi="Wingdings" w:hint="default"/>
      </w:rPr>
    </w:lvl>
  </w:abstractNum>
  <w:abstractNum w:abstractNumId="26">
    <w:nsid w:val="56FB22C3"/>
    <w:multiLevelType w:val="singleLevel"/>
    <w:tmpl w:val="0264F85E"/>
    <w:lvl w:ilvl="0">
      <w:start w:val="1"/>
      <w:numFmt w:val="bullet"/>
      <w:lvlText w:val=""/>
      <w:lvlJc w:val="left"/>
      <w:pPr>
        <w:tabs>
          <w:tab w:val="num" w:pos="720"/>
        </w:tabs>
        <w:ind w:left="720" w:hanging="360"/>
      </w:pPr>
      <w:rPr>
        <w:rFonts w:ascii="Wingdings" w:hAnsi="Wingdings" w:hint="default"/>
      </w:rPr>
    </w:lvl>
  </w:abstractNum>
  <w:abstractNum w:abstractNumId="27">
    <w:nsid w:val="59640BAC"/>
    <w:multiLevelType w:val="singleLevel"/>
    <w:tmpl w:val="DF405A5A"/>
    <w:lvl w:ilvl="0">
      <w:start w:val="1"/>
      <w:numFmt w:val="bullet"/>
      <w:lvlText w:val=""/>
      <w:lvlJc w:val="left"/>
      <w:pPr>
        <w:tabs>
          <w:tab w:val="num" w:pos="360"/>
        </w:tabs>
        <w:ind w:left="360" w:hanging="360"/>
      </w:pPr>
      <w:rPr>
        <w:rFonts w:ascii="Symbol" w:hAnsi="Symbol" w:hint="default"/>
        <w:b w:val="0"/>
        <w:i w:val="0"/>
        <w:sz w:val="20"/>
      </w:rPr>
    </w:lvl>
  </w:abstractNum>
  <w:abstractNum w:abstractNumId="28">
    <w:nsid w:val="5AE712E4"/>
    <w:multiLevelType w:val="singleLevel"/>
    <w:tmpl w:val="F410D352"/>
    <w:lvl w:ilvl="0">
      <w:start w:val="1"/>
      <w:numFmt w:val="bullet"/>
      <w:lvlText w:val=""/>
      <w:lvlJc w:val="left"/>
      <w:pPr>
        <w:tabs>
          <w:tab w:val="num" w:pos="360"/>
        </w:tabs>
        <w:ind w:left="360" w:hanging="360"/>
      </w:pPr>
      <w:rPr>
        <w:rFonts w:ascii="Symbol" w:hAnsi="Symbol" w:hint="default"/>
        <w:b w:val="0"/>
        <w:i w:val="0"/>
        <w:sz w:val="20"/>
      </w:rPr>
    </w:lvl>
  </w:abstractNum>
  <w:abstractNum w:abstractNumId="29">
    <w:nsid w:val="5EF061EA"/>
    <w:multiLevelType w:val="hybridMultilevel"/>
    <w:tmpl w:val="0DC0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B97182"/>
    <w:multiLevelType w:val="hybridMultilevel"/>
    <w:tmpl w:val="A3BA9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2B449D"/>
    <w:multiLevelType w:val="multilevel"/>
    <w:tmpl w:val="20966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97175C"/>
    <w:multiLevelType w:val="hybridMultilevel"/>
    <w:tmpl w:val="903C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2253CB"/>
    <w:multiLevelType w:val="singleLevel"/>
    <w:tmpl w:val="F410D352"/>
    <w:lvl w:ilvl="0">
      <w:start w:val="1"/>
      <w:numFmt w:val="bullet"/>
      <w:lvlText w:val=""/>
      <w:lvlJc w:val="left"/>
      <w:pPr>
        <w:tabs>
          <w:tab w:val="num" w:pos="360"/>
        </w:tabs>
        <w:ind w:left="360" w:hanging="360"/>
      </w:pPr>
      <w:rPr>
        <w:rFonts w:ascii="Symbol" w:hAnsi="Symbol" w:hint="default"/>
        <w:b w:val="0"/>
        <w:i w:val="0"/>
        <w:sz w:val="20"/>
      </w:rPr>
    </w:lvl>
  </w:abstractNum>
  <w:abstractNum w:abstractNumId="34">
    <w:nsid w:val="69996530"/>
    <w:multiLevelType w:val="singleLevel"/>
    <w:tmpl w:val="DF405A5A"/>
    <w:lvl w:ilvl="0">
      <w:start w:val="1"/>
      <w:numFmt w:val="bullet"/>
      <w:lvlText w:val=""/>
      <w:lvlJc w:val="left"/>
      <w:pPr>
        <w:tabs>
          <w:tab w:val="num" w:pos="360"/>
        </w:tabs>
        <w:ind w:left="360" w:hanging="360"/>
      </w:pPr>
      <w:rPr>
        <w:rFonts w:ascii="Symbol" w:hAnsi="Symbol" w:hint="default"/>
        <w:b w:val="0"/>
        <w:i w:val="0"/>
        <w:sz w:val="20"/>
      </w:rPr>
    </w:lvl>
  </w:abstractNum>
  <w:abstractNum w:abstractNumId="35">
    <w:nsid w:val="6D2B46B8"/>
    <w:multiLevelType w:val="hybridMultilevel"/>
    <w:tmpl w:val="81589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5E0DF4"/>
    <w:multiLevelType w:val="multilevel"/>
    <w:tmpl w:val="168A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5"/>
  </w:num>
  <w:num w:numId="3">
    <w:abstractNumId w:val="33"/>
  </w:num>
  <w:num w:numId="4">
    <w:abstractNumId w:val="26"/>
  </w:num>
  <w:num w:numId="5">
    <w:abstractNumId w:val="22"/>
  </w:num>
  <w:num w:numId="6">
    <w:abstractNumId w:val="15"/>
  </w:num>
  <w:num w:numId="7">
    <w:abstractNumId w:val="28"/>
  </w:num>
  <w:num w:numId="8">
    <w:abstractNumId w:val="9"/>
  </w:num>
  <w:num w:numId="9">
    <w:abstractNumId w:val="4"/>
  </w:num>
  <w:num w:numId="10">
    <w:abstractNumId w:val="23"/>
  </w:num>
  <w:num w:numId="11">
    <w:abstractNumId w:val="11"/>
  </w:num>
  <w:num w:numId="12">
    <w:abstractNumId w:val="34"/>
  </w:num>
  <w:num w:numId="13">
    <w:abstractNumId w:val="21"/>
  </w:num>
  <w:num w:numId="14">
    <w:abstractNumId w:val="2"/>
  </w:num>
  <w:num w:numId="15">
    <w:abstractNumId w:val="10"/>
  </w:num>
  <w:num w:numId="16">
    <w:abstractNumId w:val="13"/>
  </w:num>
  <w:num w:numId="17">
    <w:abstractNumId w:val="3"/>
  </w:num>
  <w:num w:numId="18">
    <w:abstractNumId w:val="27"/>
  </w:num>
  <w:num w:numId="19">
    <w:abstractNumId w:val="16"/>
  </w:num>
  <w:num w:numId="20">
    <w:abstractNumId w:val="1"/>
  </w:num>
  <w:num w:numId="21">
    <w:abstractNumId w:val="0"/>
  </w:num>
  <w:num w:numId="22">
    <w:abstractNumId w:val="17"/>
  </w:num>
  <w:num w:numId="23">
    <w:abstractNumId w:val="14"/>
  </w:num>
  <w:num w:numId="24">
    <w:abstractNumId w:val="29"/>
  </w:num>
  <w:num w:numId="25">
    <w:abstractNumId w:val="30"/>
  </w:num>
  <w:num w:numId="26">
    <w:abstractNumId w:val="35"/>
  </w:num>
  <w:num w:numId="27">
    <w:abstractNumId w:val="12"/>
  </w:num>
  <w:num w:numId="28">
    <w:abstractNumId w:val="19"/>
  </w:num>
  <w:num w:numId="29">
    <w:abstractNumId w:val="7"/>
  </w:num>
  <w:num w:numId="30">
    <w:abstractNumId w:val="31"/>
  </w:num>
  <w:num w:numId="31">
    <w:abstractNumId w:val="36"/>
  </w:num>
  <w:num w:numId="32">
    <w:abstractNumId w:val="6"/>
  </w:num>
  <w:num w:numId="33">
    <w:abstractNumId w:val="24"/>
  </w:num>
  <w:num w:numId="34">
    <w:abstractNumId w:val="32"/>
  </w:num>
  <w:num w:numId="35">
    <w:abstractNumId w:val="20"/>
  </w:num>
  <w:num w:numId="36">
    <w:abstractNumId w:val="8"/>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3D5"/>
    <w:rsid w:val="00005788"/>
    <w:rsid w:val="00017C36"/>
    <w:rsid w:val="00034CA1"/>
    <w:rsid w:val="00052761"/>
    <w:rsid w:val="00054692"/>
    <w:rsid w:val="00055425"/>
    <w:rsid w:val="0006532A"/>
    <w:rsid w:val="00066F21"/>
    <w:rsid w:val="00082097"/>
    <w:rsid w:val="0009409E"/>
    <w:rsid w:val="000B0D04"/>
    <w:rsid w:val="000B6E7D"/>
    <w:rsid w:val="000E4466"/>
    <w:rsid w:val="000F75EF"/>
    <w:rsid w:val="00102B9E"/>
    <w:rsid w:val="00103458"/>
    <w:rsid w:val="00112428"/>
    <w:rsid w:val="0012582D"/>
    <w:rsid w:val="001452E3"/>
    <w:rsid w:val="00153955"/>
    <w:rsid w:val="0015633B"/>
    <w:rsid w:val="00162076"/>
    <w:rsid w:val="00162EF7"/>
    <w:rsid w:val="00167945"/>
    <w:rsid w:val="00167ED5"/>
    <w:rsid w:val="00172DEC"/>
    <w:rsid w:val="00176499"/>
    <w:rsid w:val="00183D6E"/>
    <w:rsid w:val="0018717A"/>
    <w:rsid w:val="0018739E"/>
    <w:rsid w:val="0019279A"/>
    <w:rsid w:val="001A3209"/>
    <w:rsid w:val="001B4F21"/>
    <w:rsid w:val="001D0D16"/>
    <w:rsid w:val="001D4D3C"/>
    <w:rsid w:val="001E0675"/>
    <w:rsid w:val="001E2EFB"/>
    <w:rsid w:val="001E7ACE"/>
    <w:rsid w:val="001F685E"/>
    <w:rsid w:val="0020089E"/>
    <w:rsid w:val="002020C2"/>
    <w:rsid w:val="00205764"/>
    <w:rsid w:val="00207428"/>
    <w:rsid w:val="00211846"/>
    <w:rsid w:val="00212720"/>
    <w:rsid w:val="0021604B"/>
    <w:rsid w:val="00222BC7"/>
    <w:rsid w:val="00236ED5"/>
    <w:rsid w:val="00241183"/>
    <w:rsid w:val="00246C53"/>
    <w:rsid w:val="00250E6F"/>
    <w:rsid w:val="002516F7"/>
    <w:rsid w:val="002517B9"/>
    <w:rsid w:val="0025203D"/>
    <w:rsid w:val="00273F43"/>
    <w:rsid w:val="00275A2B"/>
    <w:rsid w:val="0027610D"/>
    <w:rsid w:val="002859EE"/>
    <w:rsid w:val="0029196D"/>
    <w:rsid w:val="002B1633"/>
    <w:rsid w:val="002B5B1D"/>
    <w:rsid w:val="002C4A9F"/>
    <w:rsid w:val="002C6A69"/>
    <w:rsid w:val="002C7D01"/>
    <w:rsid w:val="002D622B"/>
    <w:rsid w:val="002F2278"/>
    <w:rsid w:val="002F438F"/>
    <w:rsid w:val="00305237"/>
    <w:rsid w:val="00311AC0"/>
    <w:rsid w:val="00312572"/>
    <w:rsid w:val="00315FB2"/>
    <w:rsid w:val="003226EF"/>
    <w:rsid w:val="00323DC6"/>
    <w:rsid w:val="003352AC"/>
    <w:rsid w:val="00340429"/>
    <w:rsid w:val="00342D89"/>
    <w:rsid w:val="00346C5B"/>
    <w:rsid w:val="00351AE4"/>
    <w:rsid w:val="00374D1B"/>
    <w:rsid w:val="003761BC"/>
    <w:rsid w:val="0038158D"/>
    <w:rsid w:val="00397D55"/>
    <w:rsid w:val="003A559A"/>
    <w:rsid w:val="003A623E"/>
    <w:rsid w:val="003C4333"/>
    <w:rsid w:val="003D09B2"/>
    <w:rsid w:val="003E3E56"/>
    <w:rsid w:val="003E6BBD"/>
    <w:rsid w:val="003F7593"/>
    <w:rsid w:val="00406DBF"/>
    <w:rsid w:val="00413BC5"/>
    <w:rsid w:val="004153E9"/>
    <w:rsid w:val="00417367"/>
    <w:rsid w:val="0042165F"/>
    <w:rsid w:val="00422798"/>
    <w:rsid w:val="00422F42"/>
    <w:rsid w:val="0044434B"/>
    <w:rsid w:val="004510FB"/>
    <w:rsid w:val="00453718"/>
    <w:rsid w:val="00460180"/>
    <w:rsid w:val="00473B0A"/>
    <w:rsid w:val="00482060"/>
    <w:rsid w:val="004845DE"/>
    <w:rsid w:val="00487F93"/>
    <w:rsid w:val="00490902"/>
    <w:rsid w:val="004B3984"/>
    <w:rsid w:val="004B54CD"/>
    <w:rsid w:val="004D7CA2"/>
    <w:rsid w:val="004E145B"/>
    <w:rsid w:val="004E4984"/>
    <w:rsid w:val="004E5615"/>
    <w:rsid w:val="004E6655"/>
    <w:rsid w:val="004F3CCC"/>
    <w:rsid w:val="00504154"/>
    <w:rsid w:val="00510B55"/>
    <w:rsid w:val="0051511F"/>
    <w:rsid w:val="0051520F"/>
    <w:rsid w:val="00515F2B"/>
    <w:rsid w:val="00520B18"/>
    <w:rsid w:val="00521CFB"/>
    <w:rsid w:val="00522417"/>
    <w:rsid w:val="005262AC"/>
    <w:rsid w:val="0053336C"/>
    <w:rsid w:val="00537E8D"/>
    <w:rsid w:val="005402D8"/>
    <w:rsid w:val="005404CF"/>
    <w:rsid w:val="00541FE5"/>
    <w:rsid w:val="00562885"/>
    <w:rsid w:val="005637EC"/>
    <w:rsid w:val="005638D5"/>
    <w:rsid w:val="005701DF"/>
    <w:rsid w:val="00582521"/>
    <w:rsid w:val="005953E1"/>
    <w:rsid w:val="00596B27"/>
    <w:rsid w:val="005B213B"/>
    <w:rsid w:val="005C22E9"/>
    <w:rsid w:val="005C7B06"/>
    <w:rsid w:val="005C7DAA"/>
    <w:rsid w:val="005D2D3A"/>
    <w:rsid w:val="005D56F7"/>
    <w:rsid w:val="005F4C68"/>
    <w:rsid w:val="00600169"/>
    <w:rsid w:val="006021ED"/>
    <w:rsid w:val="006026D5"/>
    <w:rsid w:val="0062219D"/>
    <w:rsid w:val="00623884"/>
    <w:rsid w:val="00641ADD"/>
    <w:rsid w:val="00651852"/>
    <w:rsid w:val="00653430"/>
    <w:rsid w:val="0065730F"/>
    <w:rsid w:val="00657E62"/>
    <w:rsid w:val="00670993"/>
    <w:rsid w:val="0068597C"/>
    <w:rsid w:val="00692415"/>
    <w:rsid w:val="006926E5"/>
    <w:rsid w:val="00695BD7"/>
    <w:rsid w:val="006970D2"/>
    <w:rsid w:val="006A568F"/>
    <w:rsid w:val="006B5FEA"/>
    <w:rsid w:val="006C0318"/>
    <w:rsid w:val="006C38C5"/>
    <w:rsid w:val="006D01F8"/>
    <w:rsid w:val="006D05A9"/>
    <w:rsid w:val="006D3FE4"/>
    <w:rsid w:val="006E0B80"/>
    <w:rsid w:val="006E3C12"/>
    <w:rsid w:val="006F70C0"/>
    <w:rsid w:val="00716120"/>
    <w:rsid w:val="007176C9"/>
    <w:rsid w:val="0072592F"/>
    <w:rsid w:val="00727092"/>
    <w:rsid w:val="00735E93"/>
    <w:rsid w:val="007408B1"/>
    <w:rsid w:val="00753FB3"/>
    <w:rsid w:val="007708B7"/>
    <w:rsid w:val="007771DD"/>
    <w:rsid w:val="00782A38"/>
    <w:rsid w:val="00792FC8"/>
    <w:rsid w:val="00796052"/>
    <w:rsid w:val="007C279E"/>
    <w:rsid w:val="007D4B95"/>
    <w:rsid w:val="007D7473"/>
    <w:rsid w:val="007F04A5"/>
    <w:rsid w:val="007F6CAD"/>
    <w:rsid w:val="0080382B"/>
    <w:rsid w:val="008041A2"/>
    <w:rsid w:val="008125A9"/>
    <w:rsid w:val="008160D8"/>
    <w:rsid w:val="00821DB6"/>
    <w:rsid w:val="00822E49"/>
    <w:rsid w:val="0082402F"/>
    <w:rsid w:val="00833FDF"/>
    <w:rsid w:val="00853E9F"/>
    <w:rsid w:val="00856DCD"/>
    <w:rsid w:val="00865C49"/>
    <w:rsid w:val="00865ED7"/>
    <w:rsid w:val="008900C0"/>
    <w:rsid w:val="008A16F5"/>
    <w:rsid w:val="008C7EB3"/>
    <w:rsid w:val="008D41A6"/>
    <w:rsid w:val="008E2CB7"/>
    <w:rsid w:val="008E6132"/>
    <w:rsid w:val="009048AD"/>
    <w:rsid w:val="00923613"/>
    <w:rsid w:val="00926775"/>
    <w:rsid w:val="00927164"/>
    <w:rsid w:val="00927885"/>
    <w:rsid w:val="00937B26"/>
    <w:rsid w:val="009524BC"/>
    <w:rsid w:val="009548A9"/>
    <w:rsid w:val="00962FB7"/>
    <w:rsid w:val="00963771"/>
    <w:rsid w:val="00967295"/>
    <w:rsid w:val="00974EFB"/>
    <w:rsid w:val="009819CD"/>
    <w:rsid w:val="00991BED"/>
    <w:rsid w:val="00991E4D"/>
    <w:rsid w:val="009A12DA"/>
    <w:rsid w:val="009A3FCB"/>
    <w:rsid w:val="009C0F2B"/>
    <w:rsid w:val="009C38A9"/>
    <w:rsid w:val="009E2857"/>
    <w:rsid w:val="009E4E80"/>
    <w:rsid w:val="009E7E91"/>
    <w:rsid w:val="009F6580"/>
    <w:rsid w:val="009F6AF9"/>
    <w:rsid w:val="00A01B18"/>
    <w:rsid w:val="00A0451B"/>
    <w:rsid w:val="00A1282A"/>
    <w:rsid w:val="00A17027"/>
    <w:rsid w:val="00A1711D"/>
    <w:rsid w:val="00A21D34"/>
    <w:rsid w:val="00A264B6"/>
    <w:rsid w:val="00A36F11"/>
    <w:rsid w:val="00A41700"/>
    <w:rsid w:val="00A434E1"/>
    <w:rsid w:val="00A44606"/>
    <w:rsid w:val="00A45841"/>
    <w:rsid w:val="00A5074A"/>
    <w:rsid w:val="00A51740"/>
    <w:rsid w:val="00A537E4"/>
    <w:rsid w:val="00A544D0"/>
    <w:rsid w:val="00A71BD6"/>
    <w:rsid w:val="00A74052"/>
    <w:rsid w:val="00A76569"/>
    <w:rsid w:val="00A812EE"/>
    <w:rsid w:val="00A83453"/>
    <w:rsid w:val="00A96968"/>
    <w:rsid w:val="00A97819"/>
    <w:rsid w:val="00AA19B5"/>
    <w:rsid w:val="00AB4C48"/>
    <w:rsid w:val="00AB54DF"/>
    <w:rsid w:val="00AB7735"/>
    <w:rsid w:val="00AB7FDF"/>
    <w:rsid w:val="00AE40EE"/>
    <w:rsid w:val="00AE6213"/>
    <w:rsid w:val="00AF3DD9"/>
    <w:rsid w:val="00B03C7B"/>
    <w:rsid w:val="00B05E65"/>
    <w:rsid w:val="00B06205"/>
    <w:rsid w:val="00B10C35"/>
    <w:rsid w:val="00B25C78"/>
    <w:rsid w:val="00B26E78"/>
    <w:rsid w:val="00B44F1F"/>
    <w:rsid w:val="00B946D4"/>
    <w:rsid w:val="00BA4CAE"/>
    <w:rsid w:val="00BA550F"/>
    <w:rsid w:val="00BA5C71"/>
    <w:rsid w:val="00BB5B94"/>
    <w:rsid w:val="00BB7B28"/>
    <w:rsid w:val="00BC7394"/>
    <w:rsid w:val="00BD3BB8"/>
    <w:rsid w:val="00BD3C94"/>
    <w:rsid w:val="00BD4F14"/>
    <w:rsid w:val="00BD508A"/>
    <w:rsid w:val="00BE1E6B"/>
    <w:rsid w:val="00BF18EA"/>
    <w:rsid w:val="00BF2A89"/>
    <w:rsid w:val="00BF3C9B"/>
    <w:rsid w:val="00BF5FBC"/>
    <w:rsid w:val="00C0294D"/>
    <w:rsid w:val="00C02D12"/>
    <w:rsid w:val="00C100B1"/>
    <w:rsid w:val="00C10DFD"/>
    <w:rsid w:val="00C122C0"/>
    <w:rsid w:val="00C1275F"/>
    <w:rsid w:val="00C1534A"/>
    <w:rsid w:val="00C20B6A"/>
    <w:rsid w:val="00C24ACF"/>
    <w:rsid w:val="00C33FF5"/>
    <w:rsid w:val="00C40DD9"/>
    <w:rsid w:val="00C46904"/>
    <w:rsid w:val="00C46F3A"/>
    <w:rsid w:val="00C47291"/>
    <w:rsid w:val="00C50269"/>
    <w:rsid w:val="00C823D7"/>
    <w:rsid w:val="00C82B3F"/>
    <w:rsid w:val="00C833ED"/>
    <w:rsid w:val="00C903BD"/>
    <w:rsid w:val="00C908F9"/>
    <w:rsid w:val="00C92AF6"/>
    <w:rsid w:val="00C9327F"/>
    <w:rsid w:val="00C97915"/>
    <w:rsid w:val="00CA05E7"/>
    <w:rsid w:val="00CA3A52"/>
    <w:rsid w:val="00CA4CEC"/>
    <w:rsid w:val="00CB36BE"/>
    <w:rsid w:val="00CC15BF"/>
    <w:rsid w:val="00CC37DB"/>
    <w:rsid w:val="00CC61FA"/>
    <w:rsid w:val="00CD55B1"/>
    <w:rsid w:val="00CE4350"/>
    <w:rsid w:val="00D00BF3"/>
    <w:rsid w:val="00D0581F"/>
    <w:rsid w:val="00D138E5"/>
    <w:rsid w:val="00D21453"/>
    <w:rsid w:val="00D23D24"/>
    <w:rsid w:val="00D312A7"/>
    <w:rsid w:val="00D3347B"/>
    <w:rsid w:val="00D436FA"/>
    <w:rsid w:val="00D50371"/>
    <w:rsid w:val="00D62F30"/>
    <w:rsid w:val="00D678D3"/>
    <w:rsid w:val="00D72865"/>
    <w:rsid w:val="00D80674"/>
    <w:rsid w:val="00D86860"/>
    <w:rsid w:val="00D92732"/>
    <w:rsid w:val="00D93D73"/>
    <w:rsid w:val="00DA6171"/>
    <w:rsid w:val="00DA6B2E"/>
    <w:rsid w:val="00DB0340"/>
    <w:rsid w:val="00DB1322"/>
    <w:rsid w:val="00DB74B4"/>
    <w:rsid w:val="00DC4AEF"/>
    <w:rsid w:val="00DD64C0"/>
    <w:rsid w:val="00DE0132"/>
    <w:rsid w:val="00DE0198"/>
    <w:rsid w:val="00DE1692"/>
    <w:rsid w:val="00DE2935"/>
    <w:rsid w:val="00DE3FE8"/>
    <w:rsid w:val="00DF44A9"/>
    <w:rsid w:val="00DF637C"/>
    <w:rsid w:val="00E113D5"/>
    <w:rsid w:val="00E20660"/>
    <w:rsid w:val="00E25C3D"/>
    <w:rsid w:val="00E321ED"/>
    <w:rsid w:val="00E352E7"/>
    <w:rsid w:val="00E363E2"/>
    <w:rsid w:val="00E43D16"/>
    <w:rsid w:val="00E553E8"/>
    <w:rsid w:val="00E62540"/>
    <w:rsid w:val="00E70433"/>
    <w:rsid w:val="00E711D2"/>
    <w:rsid w:val="00E71ABF"/>
    <w:rsid w:val="00E77939"/>
    <w:rsid w:val="00E82383"/>
    <w:rsid w:val="00E82977"/>
    <w:rsid w:val="00E87375"/>
    <w:rsid w:val="00E92736"/>
    <w:rsid w:val="00E9429C"/>
    <w:rsid w:val="00E94414"/>
    <w:rsid w:val="00E95D62"/>
    <w:rsid w:val="00EA356A"/>
    <w:rsid w:val="00EB0F8E"/>
    <w:rsid w:val="00EB243B"/>
    <w:rsid w:val="00EC1502"/>
    <w:rsid w:val="00EC19C4"/>
    <w:rsid w:val="00EC5332"/>
    <w:rsid w:val="00EC77DD"/>
    <w:rsid w:val="00EE5532"/>
    <w:rsid w:val="00EF04B4"/>
    <w:rsid w:val="00EF5DDC"/>
    <w:rsid w:val="00F07B61"/>
    <w:rsid w:val="00F119E3"/>
    <w:rsid w:val="00F14A50"/>
    <w:rsid w:val="00F4177B"/>
    <w:rsid w:val="00F428EB"/>
    <w:rsid w:val="00F60627"/>
    <w:rsid w:val="00F6131D"/>
    <w:rsid w:val="00F618D2"/>
    <w:rsid w:val="00F65446"/>
    <w:rsid w:val="00F7482A"/>
    <w:rsid w:val="00F87504"/>
    <w:rsid w:val="00FA663C"/>
    <w:rsid w:val="00FC2386"/>
    <w:rsid w:val="00FC6B01"/>
    <w:rsid w:val="00FD0F9F"/>
    <w:rsid w:val="00FD1612"/>
    <w:rsid w:val="00FD60F6"/>
    <w:rsid w:val="00FF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610D"/>
    <w:pPr>
      <w:spacing w:before="120" w:after="120"/>
    </w:pPr>
    <w:rPr>
      <w:sz w:val="22"/>
    </w:rPr>
  </w:style>
  <w:style w:type="paragraph" w:styleId="Heading1">
    <w:name w:val="heading 1"/>
    <w:basedOn w:val="Normal"/>
    <w:next w:val="Normal"/>
    <w:qFormat/>
    <w:rsid w:val="002020C2"/>
    <w:pPr>
      <w:keepNext/>
      <w:spacing w:before="240"/>
      <w:outlineLvl w:val="0"/>
    </w:pPr>
    <w:rPr>
      <w:rFonts w:ascii="Arial" w:hAnsi="Arial"/>
      <w:b/>
      <w:u w:val="single"/>
    </w:rPr>
  </w:style>
  <w:style w:type="paragraph" w:styleId="Heading2">
    <w:name w:val="heading 2"/>
    <w:basedOn w:val="Normal"/>
    <w:next w:val="Normal"/>
    <w:qFormat/>
    <w:rsid w:val="002020C2"/>
    <w:pPr>
      <w:keepNext/>
      <w:spacing w:before="240"/>
      <w:outlineLvl w:val="1"/>
    </w:pPr>
    <w:rPr>
      <w:rFonts w:ascii="Arial" w:hAnsi="Arial"/>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color w:val="000000"/>
    </w:rPr>
  </w:style>
  <w:style w:type="paragraph" w:styleId="Heading7">
    <w:name w:val="heading 7"/>
    <w:basedOn w:val="Normal"/>
    <w:next w:val="Table"/>
    <w:qFormat/>
    <w:pPr>
      <w:keepNext/>
      <w:spacing w:before="60"/>
      <w:outlineLvl w:val="6"/>
    </w:pPr>
    <w:rPr>
      <w:rFonts w:ascii="Arial" w:hAnsi="Arial"/>
      <w:b/>
      <w:sz w:val="18"/>
    </w:rPr>
  </w:style>
  <w:style w:type="paragraph" w:styleId="Heading8">
    <w:name w:val="heading 8"/>
    <w:basedOn w:val="Normal"/>
    <w:next w:val="Normal"/>
    <w:qFormat/>
    <w:pPr>
      <w:keepNex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color w:val="000000"/>
    </w:rPr>
  </w:style>
  <w:style w:type="paragraph" w:styleId="Subtitle">
    <w:name w:val="Subtitle"/>
    <w:basedOn w:val="Normal"/>
    <w:qFormat/>
    <w:pPr>
      <w:jc w:val="center"/>
    </w:pPr>
    <w:rPr>
      <w:rFonts w:ascii="Arial" w:hAnsi="Arial"/>
      <w:b/>
      <w:color w:val="000000"/>
    </w:rPr>
  </w:style>
  <w:style w:type="paragraph" w:styleId="BodyText">
    <w:name w:val="Body Text"/>
    <w:basedOn w:val="Normal"/>
    <w:rPr>
      <w:rFonts w:ascii="Arial" w:hAnsi="Arial"/>
      <w:sz w:val="20"/>
    </w:rPr>
  </w:style>
  <w:style w:type="paragraph" w:styleId="FootnoteText">
    <w:name w:val="footnote text"/>
    <w:basedOn w:val="Normal"/>
    <w:semiHidden/>
    <w:rPr>
      <w:sz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customStyle="1" w:styleId="Table">
    <w:name w:val="Table"/>
    <w:basedOn w:val="BodyText"/>
    <w:qFormat/>
    <w:rPr>
      <w:color w:val="000000"/>
      <w:sz w:val="16"/>
    </w:rPr>
  </w:style>
  <w:style w:type="paragraph" w:styleId="ListBullet2">
    <w:name w:val="List Bullet 2"/>
    <w:basedOn w:val="Normal"/>
    <w:autoRedefine/>
    <w:rsid w:val="002F438F"/>
    <w:pPr>
      <w:numPr>
        <w:numId w:val="37"/>
      </w:numPr>
    </w:pPr>
  </w:style>
  <w:style w:type="paragraph" w:styleId="Footer">
    <w:name w:val="footer"/>
    <w:basedOn w:val="Normal"/>
    <w:pPr>
      <w:tabs>
        <w:tab w:val="center" w:pos="4320"/>
        <w:tab w:val="right" w:pos="8640"/>
      </w:tabs>
    </w:pPr>
    <w:rPr>
      <w:rFonts w:ascii="Arial" w:hAnsi="Arial"/>
      <w:sz w:val="16"/>
    </w:rPr>
  </w:style>
  <w:style w:type="character" w:styleId="PageNumber">
    <w:name w:val="page number"/>
    <w:basedOn w:val="DefaultParagraphFont"/>
  </w:style>
  <w:style w:type="paragraph" w:styleId="BalloonText">
    <w:name w:val="Balloon Text"/>
    <w:basedOn w:val="Normal"/>
    <w:semiHidden/>
    <w:rsid w:val="002516F7"/>
    <w:rPr>
      <w:rFonts w:ascii="Tahoma" w:hAnsi="Tahoma" w:cs="Tahoma"/>
      <w:sz w:val="16"/>
      <w:szCs w:val="16"/>
    </w:rPr>
  </w:style>
  <w:style w:type="paragraph" w:customStyle="1" w:styleId="TableFootnote">
    <w:name w:val="TableFootnote"/>
    <w:basedOn w:val="Table"/>
    <w:qFormat/>
  </w:style>
  <w:style w:type="paragraph" w:styleId="Caption">
    <w:name w:val="caption"/>
    <w:basedOn w:val="Normal"/>
    <w:next w:val="Normal"/>
    <w:qFormat/>
    <w:pPr>
      <w:keepNext/>
    </w:pPr>
    <w:rPr>
      <w:rFonts w:ascii="Arial" w:hAnsi="Arial"/>
      <w:b/>
      <w:bCs/>
      <w:sz w:val="18"/>
    </w:rPr>
  </w:style>
  <w:style w:type="paragraph" w:customStyle="1" w:styleId="StyleHeading1Black">
    <w:name w:val="Style Heading 1 + Black"/>
    <w:basedOn w:val="Heading1"/>
    <w:rsid w:val="008160D8"/>
    <w:rPr>
      <w:bCs/>
      <w:color w:val="000000"/>
    </w:rPr>
  </w:style>
  <w:style w:type="character" w:styleId="FollowedHyperlink">
    <w:name w:val="FollowedHyperlink"/>
    <w:rsid w:val="009E4E80"/>
    <w:rPr>
      <w:color w:val="800080"/>
      <w:u w:val="single"/>
    </w:rPr>
  </w:style>
  <w:style w:type="paragraph" w:styleId="NormalWeb">
    <w:name w:val="Normal (Web)"/>
    <w:basedOn w:val="Normal"/>
    <w:rsid w:val="00937B26"/>
    <w:pPr>
      <w:spacing w:before="100" w:beforeAutospacing="1" w:after="100" w:afterAutospacing="1"/>
    </w:pPr>
    <w:rPr>
      <w:color w:val="000080"/>
      <w:sz w:val="24"/>
      <w:szCs w:val="24"/>
    </w:rPr>
  </w:style>
  <w:style w:type="paragraph" w:styleId="EndnoteText">
    <w:name w:val="endnote text"/>
    <w:basedOn w:val="Normal"/>
    <w:link w:val="EndnoteTextChar"/>
    <w:rsid w:val="00A97819"/>
    <w:rPr>
      <w:sz w:val="20"/>
    </w:rPr>
  </w:style>
  <w:style w:type="character" w:customStyle="1" w:styleId="EndnoteTextChar">
    <w:name w:val="Endnote Text Char"/>
    <w:basedOn w:val="DefaultParagraphFont"/>
    <w:link w:val="EndnoteText"/>
    <w:rsid w:val="00A97819"/>
  </w:style>
  <w:style w:type="character" w:styleId="EndnoteReference">
    <w:name w:val="endnote reference"/>
    <w:rsid w:val="00A97819"/>
    <w:rPr>
      <w:vertAlign w:val="superscript"/>
    </w:rPr>
  </w:style>
  <w:style w:type="table" w:styleId="TableColumns4">
    <w:name w:val="Table Columns 4"/>
    <w:basedOn w:val="TableNormal"/>
    <w:rsid w:val="00716120"/>
    <w:pPr>
      <w:spacing w:before="60" w:after="60"/>
    </w:pPr>
    <w:rPr>
      <w:rFonts w:ascii="Arial" w:hAnsi="Arial"/>
      <w:sz w:val="18"/>
    </w:rPr>
    <w:tblPr>
      <w:tblStyleColBandSize w:val="1"/>
      <w:tblInd w:w="0" w:type="dxa"/>
      <w:tblBorders>
        <w:bottom w:val="single" w:sz="12" w:space="0" w:color="auto"/>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styleId="FootnoteReference">
    <w:name w:val="footnote reference"/>
    <w:basedOn w:val="DefaultParagraphFont"/>
    <w:rsid w:val="005C7B06"/>
    <w:rPr>
      <w:vertAlign w:val="superscript"/>
    </w:rPr>
  </w:style>
  <w:style w:type="paragraph" w:styleId="ListParagraph">
    <w:name w:val="List Paragraph"/>
    <w:basedOn w:val="Normal"/>
    <w:uiPriority w:val="34"/>
    <w:qFormat/>
    <w:rsid w:val="00D23D24"/>
    <w:pPr>
      <w:ind w:left="720"/>
      <w:contextualSpacing/>
    </w:pPr>
  </w:style>
  <w:style w:type="paragraph" w:customStyle="1" w:styleId="title1">
    <w:name w:val="title1"/>
    <w:basedOn w:val="Normal"/>
    <w:rsid w:val="0021604B"/>
    <w:pPr>
      <w:spacing w:before="0" w:after="0"/>
    </w:pPr>
    <w:rPr>
      <w:sz w:val="27"/>
      <w:szCs w:val="27"/>
    </w:rPr>
  </w:style>
  <w:style w:type="paragraph" w:customStyle="1" w:styleId="desc2">
    <w:name w:val="desc2"/>
    <w:basedOn w:val="Normal"/>
    <w:rsid w:val="0021604B"/>
    <w:pPr>
      <w:spacing w:before="0" w:after="0"/>
    </w:pPr>
    <w:rPr>
      <w:sz w:val="26"/>
      <w:szCs w:val="26"/>
    </w:rPr>
  </w:style>
  <w:style w:type="paragraph" w:customStyle="1" w:styleId="details1">
    <w:name w:val="details1"/>
    <w:basedOn w:val="Normal"/>
    <w:rsid w:val="0021604B"/>
    <w:pPr>
      <w:spacing w:before="0" w:after="0"/>
    </w:pPr>
    <w:rPr>
      <w:szCs w:val="22"/>
    </w:rPr>
  </w:style>
  <w:style w:type="character" w:customStyle="1" w:styleId="jrnl">
    <w:name w:val="jrnl"/>
    <w:basedOn w:val="DefaultParagraphFont"/>
    <w:rsid w:val="0021604B"/>
  </w:style>
  <w:style w:type="character" w:customStyle="1" w:styleId="srch-link-sep1">
    <w:name w:val="srch-link-sep1"/>
    <w:basedOn w:val="DefaultParagraphFont"/>
    <w:rsid w:val="005C22E9"/>
    <w:rPr>
      <w:color w:val="808080"/>
    </w:rPr>
  </w:style>
  <w:style w:type="character" w:customStyle="1" w:styleId="srch-doc-title1">
    <w:name w:val="srch-doc-title1"/>
    <w:basedOn w:val="DefaultParagraphFont"/>
    <w:rsid w:val="005C22E9"/>
    <w:rPr>
      <w:b/>
      <w:bCs/>
    </w:rPr>
  </w:style>
  <w:style w:type="character" w:customStyle="1" w:styleId="srch-link-sep3">
    <w:name w:val="srch-link-sep3"/>
    <w:basedOn w:val="DefaultParagraphFont"/>
    <w:rsid w:val="005C22E9"/>
    <w:rPr>
      <w:color w:val="808080"/>
    </w:rPr>
  </w:style>
  <w:style w:type="character" w:customStyle="1" w:styleId="srch-date">
    <w:name w:val="srch-date"/>
    <w:basedOn w:val="DefaultParagraphFont"/>
    <w:rsid w:val="005C22E9"/>
  </w:style>
  <w:style w:type="character" w:customStyle="1" w:styleId="srch-jrnl-src1">
    <w:name w:val="srch-jrnl-src1"/>
    <w:basedOn w:val="DefaultParagraphFont"/>
    <w:rsid w:val="005C22E9"/>
    <w:rPr>
      <w:i/>
      <w:iCs/>
    </w:rPr>
  </w:style>
  <w:style w:type="character" w:customStyle="1" w:styleId="srch-vol1">
    <w:name w:val="srch-vol1"/>
    <w:basedOn w:val="DefaultParagraphFont"/>
    <w:rsid w:val="005C22E9"/>
    <w:rPr>
      <w:color w:val="808080"/>
    </w:rPr>
  </w:style>
  <w:style w:type="character" w:customStyle="1" w:styleId="srch-issue1">
    <w:name w:val="srch-issue1"/>
    <w:basedOn w:val="DefaultParagraphFont"/>
    <w:rsid w:val="005C22E9"/>
    <w:rPr>
      <w:color w:val="808080"/>
    </w:rPr>
  </w:style>
  <w:style w:type="character" w:customStyle="1" w:styleId="srch-pages1">
    <w:name w:val="srch-pages1"/>
    <w:basedOn w:val="DefaultParagraphFont"/>
    <w:rsid w:val="005C22E9"/>
    <w:rPr>
      <w:color w:val="808080"/>
    </w:rPr>
  </w:style>
  <w:style w:type="character" w:styleId="Emphasis">
    <w:name w:val="Emphasis"/>
    <w:basedOn w:val="DefaultParagraphFont"/>
    <w:uiPriority w:val="20"/>
    <w:qFormat/>
    <w:rsid w:val="007F04A5"/>
    <w:rPr>
      <w:b/>
      <w:bCs/>
      <w:i w:val="0"/>
      <w:iCs w:val="0"/>
    </w:rPr>
  </w:style>
  <w:style w:type="character" w:customStyle="1" w:styleId="st">
    <w:name w:val="st"/>
    <w:basedOn w:val="DefaultParagraphFont"/>
    <w:rsid w:val="007F04A5"/>
  </w:style>
  <w:style w:type="character" w:customStyle="1" w:styleId="highlight1">
    <w:name w:val="highlight1"/>
    <w:basedOn w:val="DefaultParagraphFont"/>
    <w:rsid w:val="00C833ED"/>
    <w:rPr>
      <w:shd w:val="clear" w:color="auto" w:fill="F2F5F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610D"/>
    <w:pPr>
      <w:spacing w:before="120" w:after="120"/>
    </w:pPr>
    <w:rPr>
      <w:sz w:val="22"/>
    </w:rPr>
  </w:style>
  <w:style w:type="paragraph" w:styleId="Heading1">
    <w:name w:val="heading 1"/>
    <w:basedOn w:val="Normal"/>
    <w:next w:val="Normal"/>
    <w:qFormat/>
    <w:rsid w:val="002020C2"/>
    <w:pPr>
      <w:keepNext/>
      <w:spacing w:before="240"/>
      <w:outlineLvl w:val="0"/>
    </w:pPr>
    <w:rPr>
      <w:rFonts w:ascii="Arial" w:hAnsi="Arial"/>
      <w:b/>
      <w:u w:val="single"/>
    </w:rPr>
  </w:style>
  <w:style w:type="paragraph" w:styleId="Heading2">
    <w:name w:val="heading 2"/>
    <w:basedOn w:val="Normal"/>
    <w:next w:val="Normal"/>
    <w:qFormat/>
    <w:rsid w:val="002020C2"/>
    <w:pPr>
      <w:keepNext/>
      <w:spacing w:before="240"/>
      <w:outlineLvl w:val="1"/>
    </w:pPr>
    <w:rPr>
      <w:rFonts w:ascii="Arial" w:hAnsi="Arial"/>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color w:val="000000"/>
    </w:rPr>
  </w:style>
  <w:style w:type="paragraph" w:styleId="Heading7">
    <w:name w:val="heading 7"/>
    <w:basedOn w:val="Normal"/>
    <w:next w:val="Table"/>
    <w:qFormat/>
    <w:pPr>
      <w:keepNext/>
      <w:spacing w:before="60"/>
      <w:outlineLvl w:val="6"/>
    </w:pPr>
    <w:rPr>
      <w:rFonts w:ascii="Arial" w:hAnsi="Arial"/>
      <w:b/>
      <w:sz w:val="18"/>
    </w:rPr>
  </w:style>
  <w:style w:type="paragraph" w:styleId="Heading8">
    <w:name w:val="heading 8"/>
    <w:basedOn w:val="Normal"/>
    <w:next w:val="Normal"/>
    <w:qFormat/>
    <w:pPr>
      <w:keepNex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color w:val="000000"/>
    </w:rPr>
  </w:style>
  <w:style w:type="paragraph" w:styleId="Subtitle">
    <w:name w:val="Subtitle"/>
    <w:basedOn w:val="Normal"/>
    <w:qFormat/>
    <w:pPr>
      <w:jc w:val="center"/>
    </w:pPr>
    <w:rPr>
      <w:rFonts w:ascii="Arial" w:hAnsi="Arial"/>
      <w:b/>
      <w:color w:val="000000"/>
    </w:rPr>
  </w:style>
  <w:style w:type="paragraph" w:styleId="BodyText">
    <w:name w:val="Body Text"/>
    <w:basedOn w:val="Normal"/>
    <w:rPr>
      <w:rFonts w:ascii="Arial" w:hAnsi="Arial"/>
      <w:sz w:val="20"/>
    </w:rPr>
  </w:style>
  <w:style w:type="paragraph" w:styleId="FootnoteText">
    <w:name w:val="footnote text"/>
    <w:basedOn w:val="Normal"/>
    <w:semiHidden/>
    <w:rPr>
      <w:sz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customStyle="1" w:styleId="Table">
    <w:name w:val="Table"/>
    <w:basedOn w:val="BodyText"/>
    <w:qFormat/>
    <w:rPr>
      <w:color w:val="000000"/>
      <w:sz w:val="16"/>
    </w:rPr>
  </w:style>
  <w:style w:type="paragraph" w:styleId="ListBullet2">
    <w:name w:val="List Bullet 2"/>
    <w:basedOn w:val="Normal"/>
    <w:autoRedefine/>
    <w:rsid w:val="002F438F"/>
    <w:pPr>
      <w:numPr>
        <w:numId w:val="37"/>
      </w:numPr>
    </w:pPr>
  </w:style>
  <w:style w:type="paragraph" w:styleId="Footer">
    <w:name w:val="footer"/>
    <w:basedOn w:val="Normal"/>
    <w:pPr>
      <w:tabs>
        <w:tab w:val="center" w:pos="4320"/>
        <w:tab w:val="right" w:pos="8640"/>
      </w:tabs>
    </w:pPr>
    <w:rPr>
      <w:rFonts w:ascii="Arial" w:hAnsi="Arial"/>
      <w:sz w:val="16"/>
    </w:rPr>
  </w:style>
  <w:style w:type="character" w:styleId="PageNumber">
    <w:name w:val="page number"/>
    <w:basedOn w:val="DefaultParagraphFont"/>
  </w:style>
  <w:style w:type="paragraph" w:styleId="BalloonText">
    <w:name w:val="Balloon Text"/>
    <w:basedOn w:val="Normal"/>
    <w:semiHidden/>
    <w:rsid w:val="002516F7"/>
    <w:rPr>
      <w:rFonts w:ascii="Tahoma" w:hAnsi="Tahoma" w:cs="Tahoma"/>
      <w:sz w:val="16"/>
      <w:szCs w:val="16"/>
    </w:rPr>
  </w:style>
  <w:style w:type="paragraph" w:customStyle="1" w:styleId="TableFootnote">
    <w:name w:val="TableFootnote"/>
    <w:basedOn w:val="Table"/>
    <w:qFormat/>
  </w:style>
  <w:style w:type="paragraph" w:styleId="Caption">
    <w:name w:val="caption"/>
    <w:basedOn w:val="Normal"/>
    <w:next w:val="Normal"/>
    <w:qFormat/>
    <w:pPr>
      <w:keepNext/>
    </w:pPr>
    <w:rPr>
      <w:rFonts w:ascii="Arial" w:hAnsi="Arial"/>
      <w:b/>
      <w:bCs/>
      <w:sz w:val="18"/>
    </w:rPr>
  </w:style>
  <w:style w:type="paragraph" w:customStyle="1" w:styleId="StyleHeading1Black">
    <w:name w:val="Style Heading 1 + Black"/>
    <w:basedOn w:val="Heading1"/>
    <w:rsid w:val="008160D8"/>
    <w:rPr>
      <w:bCs/>
      <w:color w:val="000000"/>
    </w:rPr>
  </w:style>
  <w:style w:type="character" w:styleId="FollowedHyperlink">
    <w:name w:val="FollowedHyperlink"/>
    <w:rsid w:val="009E4E80"/>
    <w:rPr>
      <w:color w:val="800080"/>
      <w:u w:val="single"/>
    </w:rPr>
  </w:style>
  <w:style w:type="paragraph" w:styleId="NormalWeb">
    <w:name w:val="Normal (Web)"/>
    <w:basedOn w:val="Normal"/>
    <w:rsid w:val="00937B26"/>
    <w:pPr>
      <w:spacing w:before="100" w:beforeAutospacing="1" w:after="100" w:afterAutospacing="1"/>
    </w:pPr>
    <w:rPr>
      <w:color w:val="000080"/>
      <w:sz w:val="24"/>
      <w:szCs w:val="24"/>
    </w:rPr>
  </w:style>
  <w:style w:type="paragraph" w:styleId="EndnoteText">
    <w:name w:val="endnote text"/>
    <w:basedOn w:val="Normal"/>
    <w:link w:val="EndnoteTextChar"/>
    <w:rsid w:val="00A97819"/>
    <w:rPr>
      <w:sz w:val="20"/>
    </w:rPr>
  </w:style>
  <w:style w:type="character" w:customStyle="1" w:styleId="EndnoteTextChar">
    <w:name w:val="Endnote Text Char"/>
    <w:basedOn w:val="DefaultParagraphFont"/>
    <w:link w:val="EndnoteText"/>
    <w:rsid w:val="00A97819"/>
  </w:style>
  <w:style w:type="character" w:styleId="EndnoteReference">
    <w:name w:val="endnote reference"/>
    <w:rsid w:val="00A97819"/>
    <w:rPr>
      <w:vertAlign w:val="superscript"/>
    </w:rPr>
  </w:style>
  <w:style w:type="table" w:styleId="TableColumns4">
    <w:name w:val="Table Columns 4"/>
    <w:basedOn w:val="TableNormal"/>
    <w:rsid w:val="00716120"/>
    <w:pPr>
      <w:spacing w:before="60" w:after="60"/>
    </w:pPr>
    <w:rPr>
      <w:rFonts w:ascii="Arial" w:hAnsi="Arial"/>
      <w:sz w:val="18"/>
    </w:rPr>
    <w:tblPr>
      <w:tblStyleColBandSize w:val="1"/>
      <w:tblInd w:w="0" w:type="dxa"/>
      <w:tblBorders>
        <w:bottom w:val="single" w:sz="12" w:space="0" w:color="auto"/>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styleId="FootnoteReference">
    <w:name w:val="footnote reference"/>
    <w:basedOn w:val="DefaultParagraphFont"/>
    <w:rsid w:val="005C7B06"/>
    <w:rPr>
      <w:vertAlign w:val="superscript"/>
    </w:rPr>
  </w:style>
  <w:style w:type="paragraph" w:styleId="ListParagraph">
    <w:name w:val="List Paragraph"/>
    <w:basedOn w:val="Normal"/>
    <w:uiPriority w:val="34"/>
    <w:qFormat/>
    <w:rsid w:val="00D23D24"/>
    <w:pPr>
      <w:ind w:left="720"/>
      <w:contextualSpacing/>
    </w:pPr>
  </w:style>
  <w:style w:type="paragraph" w:customStyle="1" w:styleId="title1">
    <w:name w:val="title1"/>
    <w:basedOn w:val="Normal"/>
    <w:rsid w:val="0021604B"/>
    <w:pPr>
      <w:spacing w:before="0" w:after="0"/>
    </w:pPr>
    <w:rPr>
      <w:sz w:val="27"/>
      <w:szCs w:val="27"/>
    </w:rPr>
  </w:style>
  <w:style w:type="paragraph" w:customStyle="1" w:styleId="desc2">
    <w:name w:val="desc2"/>
    <w:basedOn w:val="Normal"/>
    <w:rsid w:val="0021604B"/>
    <w:pPr>
      <w:spacing w:before="0" w:after="0"/>
    </w:pPr>
    <w:rPr>
      <w:sz w:val="26"/>
      <w:szCs w:val="26"/>
    </w:rPr>
  </w:style>
  <w:style w:type="paragraph" w:customStyle="1" w:styleId="details1">
    <w:name w:val="details1"/>
    <w:basedOn w:val="Normal"/>
    <w:rsid w:val="0021604B"/>
    <w:pPr>
      <w:spacing w:before="0" w:after="0"/>
    </w:pPr>
    <w:rPr>
      <w:szCs w:val="22"/>
    </w:rPr>
  </w:style>
  <w:style w:type="character" w:customStyle="1" w:styleId="jrnl">
    <w:name w:val="jrnl"/>
    <w:basedOn w:val="DefaultParagraphFont"/>
    <w:rsid w:val="0021604B"/>
  </w:style>
  <w:style w:type="character" w:customStyle="1" w:styleId="srch-link-sep1">
    <w:name w:val="srch-link-sep1"/>
    <w:basedOn w:val="DefaultParagraphFont"/>
    <w:rsid w:val="005C22E9"/>
    <w:rPr>
      <w:color w:val="808080"/>
    </w:rPr>
  </w:style>
  <w:style w:type="character" w:customStyle="1" w:styleId="srch-doc-title1">
    <w:name w:val="srch-doc-title1"/>
    <w:basedOn w:val="DefaultParagraphFont"/>
    <w:rsid w:val="005C22E9"/>
    <w:rPr>
      <w:b/>
      <w:bCs/>
    </w:rPr>
  </w:style>
  <w:style w:type="character" w:customStyle="1" w:styleId="srch-link-sep3">
    <w:name w:val="srch-link-sep3"/>
    <w:basedOn w:val="DefaultParagraphFont"/>
    <w:rsid w:val="005C22E9"/>
    <w:rPr>
      <w:color w:val="808080"/>
    </w:rPr>
  </w:style>
  <w:style w:type="character" w:customStyle="1" w:styleId="srch-date">
    <w:name w:val="srch-date"/>
    <w:basedOn w:val="DefaultParagraphFont"/>
    <w:rsid w:val="005C22E9"/>
  </w:style>
  <w:style w:type="character" w:customStyle="1" w:styleId="srch-jrnl-src1">
    <w:name w:val="srch-jrnl-src1"/>
    <w:basedOn w:val="DefaultParagraphFont"/>
    <w:rsid w:val="005C22E9"/>
    <w:rPr>
      <w:i/>
      <w:iCs/>
    </w:rPr>
  </w:style>
  <w:style w:type="character" w:customStyle="1" w:styleId="srch-vol1">
    <w:name w:val="srch-vol1"/>
    <w:basedOn w:val="DefaultParagraphFont"/>
    <w:rsid w:val="005C22E9"/>
    <w:rPr>
      <w:color w:val="808080"/>
    </w:rPr>
  </w:style>
  <w:style w:type="character" w:customStyle="1" w:styleId="srch-issue1">
    <w:name w:val="srch-issue1"/>
    <w:basedOn w:val="DefaultParagraphFont"/>
    <w:rsid w:val="005C22E9"/>
    <w:rPr>
      <w:color w:val="808080"/>
    </w:rPr>
  </w:style>
  <w:style w:type="character" w:customStyle="1" w:styleId="srch-pages1">
    <w:name w:val="srch-pages1"/>
    <w:basedOn w:val="DefaultParagraphFont"/>
    <w:rsid w:val="005C22E9"/>
    <w:rPr>
      <w:color w:val="808080"/>
    </w:rPr>
  </w:style>
  <w:style w:type="character" w:styleId="Emphasis">
    <w:name w:val="Emphasis"/>
    <w:basedOn w:val="DefaultParagraphFont"/>
    <w:uiPriority w:val="20"/>
    <w:qFormat/>
    <w:rsid w:val="007F04A5"/>
    <w:rPr>
      <w:b/>
      <w:bCs/>
      <w:i w:val="0"/>
      <w:iCs w:val="0"/>
    </w:rPr>
  </w:style>
  <w:style w:type="character" w:customStyle="1" w:styleId="st">
    <w:name w:val="st"/>
    <w:basedOn w:val="DefaultParagraphFont"/>
    <w:rsid w:val="007F04A5"/>
  </w:style>
  <w:style w:type="character" w:customStyle="1" w:styleId="highlight1">
    <w:name w:val="highlight1"/>
    <w:basedOn w:val="DefaultParagraphFont"/>
    <w:rsid w:val="00C833ED"/>
    <w:rPr>
      <w:shd w:val="clear" w:color="auto" w:fill="F2F5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4623">
      <w:bodyDiv w:val="1"/>
      <w:marLeft w:val="0"/>
      <w:marRight w:val="0"/>
      <w:marTop w:val="0"/>
      <w:marBottom w:val="0"/>
      <w:divBdr>
        <w:top w:val="none" w:sz="0" w:space="0" w:color="auto"/>
        <w:left w:val="none" w:sz="0" w:space="0" w:color="auto"/>
        <w:bottom w:val="none" w:sz="0" w:space="0" w:color="auto"/>
        <w:right w:val="none" w:sz="0" w:space="0" w:color="auto"/>
      </w:divBdr>
      <w:divsChild>
        <w:div w:id="1967159781">
          <w:marLeft w:val="0"/>
          <w:marRight w:val="1"/>
          <w:marTop w:val="0"/>
          <w:marBottom w:val="0"/>
          <w:divBdr>
            <w:top w:val="none" w:sz="0" w:space="0" w:color="auto"/>
            <w:left w:val="none" w:sz="0" w:space="0" w:color="auto"/>
            <w:bottom w:val="none" w:sz="0" w:space="0" w:color="auto"/>
            <w:right w:val="none" w:sz="0" w:space="0" w:color="auto"/>
          </w:divBdr>
          <w:divsChild>
            <w:div w:id="506558402">
              <w:marLeft w:val="0"/>
              <w:marRight w:val="0"/>
              <w:marTop w:val="0"/>
              <w:marBottom w:val="0"/>
              <w:divBdr>
                <w:top w:val="none" w:sz="0" w:space="0" w:color="auto"/>
                <w:left w:val="none" w:sz="0" w:space="0" w:color="auto"/>
                <w:bottom w:val="none" w:sz="0" w:space="0" w:color="auto"/>
                <w:right w:val="none" w:sz="0" w:space="0" w:color="auto"/>
              </w:divBdr>
              <w:divsChild>
                <w:div w:id="1414473424">
                  <w:marLeft w:val="0"/>
                  <w:marRight w:val="1"/>
                  <w:marTop w:val="0"/>
                  <w:marBottom w:val="0"/>
                  <w:divBdr>
                    <w:top w:val="none" w:sz="0" w:space="0" w:color="auto"/>
                    <w:left w:val="none" w:sz="0" w:space="0" w:color="auto"/>
                    <w:bottom w:val="none" w:sz="0" w:space="0" w:color="auto"/>
                    <w:right w:val="none" w:sz="0" w:space="0" w:color="auto"/>
                  </w:divBdr>
                  <w:divsChild>
                    <w:div w:id="170069005">
                      <w:marLeft w:val="0"/>
                      <w:marRight w:val="0"/>
                      <w:marTop w:val="0"/>
                      <w:marBottom w:val="0"/>
                      <w:divBdr>
                        <w:top w:val="none" w:sz="0" w:space="0" w:color="auto"/>
                        <w:left w:val="none" w:sz="0" w:space="0" w:color="auto"/>
                        <w:bottom w:val="none" w:sz="0" w:space="0" w:color="auto"/>
                        <w:right w:val="none" w:sz="0" w:space="0" w:color="auto"/>
                      </w:divBdr>
                      <w:divsChild>
                        <w:div w:id="415127528">
                          <w:marLeft w:val="0"/>
                          <w:marRight w:val="0"/>
                          <w:marTop w:val="0"/>
                          <w:marBottom w:val="0"/>
                          <w:divBdr>
                            <w:top w:val="none" w:sz="0" w:space="0" w:color="auto"/>
                            <w:left w:val="none" w:sz="0" w:space="0" w:color="auto"/>
                            <w:bottom w:val="none" w:sz="0" w:space="0" w:color="auto"/>
                            <w:right w:val="none" w:sz="0" w:space="0" w:color="auto"/>
                          </w:divBdr>
                          <w:divsChild>
                            <w:div w:id="824974158">
                              <w:marLeft w:val="0"/>
                              <w:marRight w:val="0"/>
                              <w:marTop w:val="120"/>
                              <w:marBottom w:val="360"/>
                              <w:divBdr>
                                <w:top w:val="none" w:sz="0" w:space="0" w:color="auto"/>
                                <w:left w:val="none" w:sz="0" w:space="0" w:color="auto"/>
                                <w:bottom w:val="none" w:sz="0" w:space="0" w:color="auto"/>
                                <w:right w:val="none" w:sz="0" w:space="0" w:color="auto"/>
                              </w:divBdr>
                              <w:divsChild>
                                <w:div w:id="805968946">
                                  <w:marLeft w:val="0"/>
                                  <w:marRight w:val="0"/>
                                  <w:marTop w:val="0"/>
                                  <w:marBottom w:val="0"/>
                                  <w:divBdr>
                                    <w:top w:val="none" w:sz="0" w:space="0" w:color="auto"/>
                                    <w:left w:val="none" w:sz="0" w:space="0" w:color="auto"/>
                                    <w:bottom w:val="none" w:sz="0" w:space="0" w:color="auto"/>
                                    <w:right w:val="none" w:sz="0" w:space="0" w:color="auto"/>
                                  </w:divBdr>
                                </w:div>
                                <w:div w:id="8878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67791">
      <w:bodyDiv w:val="1"/>
      <w:marLeft w:val="0"/>
      <w:marRight w:val="0"/>
      <w:marTop w:val="0"/>
      <w:marBottom w:val="0"/>
      <w:divBdr>
        <w:top w:val="none" w:sz="0" w:space="0" w:color="auto"/>
        <w:left w:val="none" w:sz="0" w:space="0" w:color="auto"/>
        <w:bottom w:val="none" w:sz="0" w:space="0" w:color="auto"/>
        <w:right w:val="none" w:sz="0" w:space="0" w:color="auto"/>
      </w:divBdr>
      <w:divsChild>
        <w:div w:id="774981620">
          <w:marLeft w:val="0"/>
          <w:marRight w:val="1"/>
          <w:marTop w:val="0"/>
          <w:marBottom w:val="0"/>
          <w:divBdr>
            <w:top w:val="none" w:sz="0" w:space="0" w:color="auto"/>
            <w:left w:val="none" w:sz="0" w:space="0" w:color="auto"/>
            <w:bottom w:val="none" w:sz="0" w:space="0" w:color="auto"/>
            <w:right w:val="none" w:sz="0" w:space="0" w:color="auto"/>
          </w:divBdr>
          <w:divsChild>
            <w:div w:id="1054424993">
              <w:marLeft w:val="0"/>
              <w:marRight w:val="0"/>
              <w:marTop w:val="0"/>
              <w:marBottom w:val="0"/>
              <w:divBdr>
                <w:top w:val="none" w:sz="0" w:space="0" w:color="auto"/>
                <w:left w:val="none" w:sz="0" w:space="0" w:color="auto"/>
                <w:bottom w:val="none" w:sz="0" w:space="0" w:color="auto"/>
                <w:right w:val="none" w:sz="0" w:space="0" w:color="auto"/>
              </w:divBdr>
              <w:divsChild>
                <w:div w:id="205266517">
                  <w:marLeft w:val="0"/>
                  <w:marRight w:val="1"/>
                  <w:marTop w:val="0"/>
                  <w:marBottom w:val="0"/>
                  <w:divBdr>
                    <w:top w:val="none" w:sz="0" w:space="0" w:color="auto"/>
                    <w:left w:val="none" w:sz="0" w:space="0" w:color="auto"/>
                    <w:bottom w:val="none" w:sz="0" w:space="0" w:color="auto"/>
                    <w:right w:val="none" w:sz="0" w:space="0" w:color="auto"/>
                  </w:divBdr>
                  <w:divsChild>
                    <w:div w:id="854851704">
                      <w:marLeft w:val="0"/>
                      <w:marRight w:val="0"/>
                      <w:marTop w:val="0"/>
                      <w:marBottom w:val="0"/>
                      <w:divBdr>
                        <w:top w:val="none" w:sz="0" w:space="0" w:color="auto"/>
                        <w:left w:val="none" w:sz="0" w:space="0" w:color="auto"/>
                        <w:bottom w:val="none" w:sz="0" w:space="0" w:color="auto"/>
                        <w:right w:val="none" w:sz="0" w:space="0" w:color="auto"/>
                      </w:divBdr>
                      <w:divsChild>
                        <w:div w:id="4405573">
                          <w:marLeft w:val="0"/>
                          <w:marRight w:val="0"/>
                          <w:marTop w:val="0"/>
                          <w:marBottom w:val="0"/>
                          <w:divBdr>
                            <w:top w:val="none" w:sz="0" w:space="0" w:color="auto"/>
                            <w:left w:val="none" w:sz="0" w:space="0" w:color="auto"/>
                            <w:bottom w:val="none" w:sz="0" w:space="0" w:color="auto"/>
                            <w:right w:val="none" w:sz="0" w:space="0" w:color="auto"/>
                          </w:divBdr>
                          <w:divsChild>
                            <w:div w:id="1043017041">
                              <w:marLeft w:val="0"/>
                              <w:marRight w:val="0"/>
                              <w:marTop w:val="120"/>
                              <w:marBottom w:val="360"/>
                              <w:divBdr>
                                <w:top w:val="none" w:sz="0" w:space="0" w:color="auto"/>
                                <w:left w:val="none" w:sz="0" w:space="0" w:color="auto"/>
                                <w:bottom w:val="none" w:sz="0" w:space="0" w:color="auto"/>
                                <w:right w:val="none" w:sz="0" w:space="0" w:color="auto"/>
                              </w:divBdr>
                              <w:divsChild>
                                <w:div w:id="72433360">
                                  <w:marLeft w:val="420"/>
                                  <w:marRight w:val="0"/>
                                  <w:marTop w:val="0"/>
                                  <w:marBottom w:val="0"/>
                                  <w:divBdr>
                                    <w:top w:val="none" w:sz="0" w:space="0" w:color="auto"/>
                                    <w:left w:val="none" w:sz="0" w:space="0" w:color="auto"/>
                                    <w:bottom w:val="none" w:sz="0" w:space="0" w:color="auto"/>
                                    <w:right w:val="none" w:sz="0" w:space="0" w:color="auto"/>
                                  </w:divBdr>
                                  <w:divsChild>
                                    <w:div w:id="299500494">
                                      <w:marLeft w:val="0"/>
                                      <w:marRight w:val="0"/>
                                      <w:marTop w:val="34"/>
                                      <w:marBottom w:val="34"/>
                                      <w:divBdr>
                                        <w:top w:val="none" w:sz="0" w:space="0" w:color="auto"/>
                                        <w:left w:val="none" w:sz="0" w:space="0" w:color="auto"/>
                                        <w:bottom w:val="none" w:sz="0" w:space="0" w:color="auto"/>
                                        <w:right w:val="none" w:sz="0" w:space="0" w:color="auto"/>
                                      </w:divBdr>
                                    </w:div>
                                    <w:div w:id="2075204340">
                                      <w:marLeft w:val="0"/>
                                      <w:marRight w:val="0"/>
                                      <w:marTop w:val="0"/>
                                      <w:marBottom w:val="0"/>
                                      <w:divBdr>
                                        <w:top w:val="none" w:sz="0" w:space="0" w:color="auto"/>
                                        <w:left w:val="none" w:sz="0" w:space="0" w:color="auto"/>
                                        <w:bottom w:val="none" w:sz="0" w:space="0" w:color="auto"/>
                                        <w:right w:val="none" w:sz="0" w:space="0" w:color="auto"/>
                                      </w:divBdr>
                                      <w:divsChild>
                                        <w:div w:id="30003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8325157">
      <w:bodyDiv w:val="1"/>
      <w:marLeft w:val="0"/>
      <w:marRight w:val="0"/>
      <w:marTop w:val="0"/>
      <w:marBottom w:val="0"/>
      <w:divBdr>
        <w:top w:val="none" w:sz="0" w:space="0" w:color="auto"/>
        <w:left w:val="none" w:sz="0" w:space="0" w:color="auto"/>
        <w:bottom w:val="none" w:sz="0" w:space="0" w:color="auto"/>
        <w:right w:val="none" w:sz="0" w:space="0" w:color="auto"/>
      </w:divBdr>
    </w:div>
    <w:div w:id="220949584">
      <w:bodyDiv w:val="1"/>
      <w:marLeft w:val="0"/>
      <w:marRight w:val="0"/>
      <w:marTop w:val="0"/>
      <w:marBottom w:val="0"/>
      <w:divBdr>
        <w:top w:val="none" w:sz="0" w:space="0" w:color="auto"/>
        <w:left w:val="none" w:sz="0" w:space="0" w:color="auto"/>
        <w:bottom w:val="none" w:sz="0" w:space="0" w:color="auto"/>
        <w:right w:val="none" w:sz="0" w:space="0" w:color="auto"/>
      </w:divBdr>
      <w:divsChild>
        <w:div w:id="1445267023">
          <w:marLeft w:val="0"/>
          <w:marRight w:val="1"/>
          <w:marTop w:val="0"/>
          <w:marBottom w:val="0"/>
          <w:divBdr>
            <w:top w:val="none" w:sz="0" w:space="0" w:color="auto"/>
            <w:left w:val="none" w:sz="0" w:space="0" w:color="auto"/>
            <w:bottom w:val="none" w:sz="0" w:space="0" w:color="auto"/>
            <w:right w:val="none" w:sz="0" w:space="0" w:color="auto"/>
          </w:divBdr>
          <w:divsChild>
            <w:div w:id="1306279339">
              <w:marLeft w:val="0"/>
              <w:marRight w:val="0"/>
              <w:marTop w:val="0"/>
              <w:marBottom w:val="0"/>
              <w:divBdr>
                <w:top w:val="none" w:sz="0" w:space="0" w:color="auto"/>
                <w:left w:val="none" w:sz="0" w:space="0" w:color="auto"/>
                <w:bottom w:val="none" w:sz="0" w:space="0" w:color="auto"/>
                <w:right w:val="none" w:sz="0" w:space="0" w:color="auto"/>
              </w:divBdr>
              <w:divsChild>
                <w:div w:id="396978472">
                  <w:marLeft w:val="0"/>
                  <w:marRight w:val="1"/>
                  <w:marTop w:val="0"/>
                  <w:marBottom w:val="0"/>
                  <w:divBdr>
                    <w:top w:val="none" w:sz="0" w:space="0" w:color="auto"/>
                    <w:left w:val="none" w:sz="0" w:space="0" w:color="auto"/>
                    <w:bottom w:val="none" w:sz="0" w:space="0" w:color="auto"/>
                    <w:right w:val="none" w:sz="0" w:space="0" w:color="auto"/>
                  </w:divBdr>
                  <w:divsChild>
                    <w:div w:id="1105886594">
                      <w:marLeft w:val="0"/>
                      <w:marRight w:val="0"/>
                      <w:marTop w:val="0"/>
                      <w:marBottom w:val="0"/>
                      <w:divBdr>
                        <w:top w:val="none" w:sz="0" w:space="0" w:color="auto"/>
                        <w:left w:val="none" w:sz="0" w:space="0" w:color="auto"/>
                        <w:bottom w:val="none" w:sz="0" w:space="0" w:color="auto"/>
                        <w:right w:val="none" w:sz="0" w:space="0" w:color="auto"/>
                      </w:divBdr>
                      <w:divsChild>
                        <w:div w:id="511989020">
                          <w:marLeft w:val="0"/>
                          <w:marRight w:val="0"/>
                          <w:marTop w:val="0"/>
                          <w:marBottom w:val="0"/>
                          <w:divBdr>
                            <w:top w:val="none" w:sz="0" w:space="0" w:color="auto"/>
                            <w:left w:val="none" w:sz="0" w:space="0" w:color="auto"/>
                            <w:bottom w:val="none" w:sz="0" w:space="0" w:color="auto"/>
                            <w:right w:val="none" w:sz="0" w:space="0" w:color="auto"/>
                          </w:divBdr>
                          <w:divsChild>
                            <w:div w:id="148055193">
                              <w:marLeft w:val="0"/>
                              <w:marRight w:val="0"/>
                              <w:marTop w:val="120"/>
                              <w:marBottom w:val="360"/>
                              <w:divBdr>
                                <w:top w:val="none" w:sz="0" w:space="0" w:color="auto"/>
                                <w:left w:val="none" w:sz="0" w:space="0" w:color="auto"/>
                                <w:bottom w:val="none" w:sz="0" w:space="0" w:color="auto"/>
                                <w:right w:val="none" w:sz="0" w:space="0" w:color="auto"/>
                              </w:divBdr>
                              <w:divsChild>
                                <w:div w:id="1110777742">
                                  <w:marLeft w:val="420"/>
                                  <w:marRight w:val="0"/>
                                  <w:marTop w:val="0"/>
                                  <w:marBottom w:val="0"/>
                                  <w:divBdr>
                                    <w:top w:val="none" w:sz="0" w:space="0" w:color="auto"/>
                                    <w:left w:val="none" w:sz="0" w:space="0" w:color="auto"/>
                                    <w:bottom w:val="none" w:sz="0" w:space="0" w:color="auto"/>
                                    <w:right w:val="none" w:sz="0" w:space="0" w:color="auto"/>
                                  </w:divBdr>
                                  <w:divsChild>
                                    <w:div w:id="118242826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872590">
      <w:bodyDiv w:val="1"/>
      <w:marLeft w:val="0"/>
      <w:marRight w:val="0"/>
      <w:marTop w:val="0"/>
      <w:marBottom w:val="0"/>
      <w:divBdr>
        <w:top w:val="none" w:sz="0" w:space="0" w:color="auto"/>
        <w:left w:val="none" w:sz="0" w:space="0" w:color="auto"/>
        <w:bottom w:val="none" w:sz="0" w:space="0" w:color="auto"/>
        <w:right w:val="none" w:sz="0" w:space="0" w:color="auto"/>
      </w:divBdr>
      <w:divsChild>
        <w:div w:id="904023586">
          <w:marLeft w:val="0"/>
          <w:marRight w:val="0"/>
          <w:marTop w:val="0"/>
          <w:marBottom w:val="0"/>
          <w:divBdr>
            <w:top w:val="none" w:sz="0" w:space="0" w:color="auto"/>
            <w:left w:val="none" w:sz="0" w:space="0" w:color="auto"/>
            <w:bottom w:val="none" w:sz="0" w:space="0" w:color="auto"/>
            <w:right w:val="none" w:sz="0" w:space="0" w:color="auto"/>
          </w:divBdr>
          <w:divsChild>
            <w:div w:id="1226719748">
              <w:marLeft w:val="0"/>
              <w:marRight w:val="0"/>
              <w:marTop w:val="0"/>
              <w:marBottom w:val="0"/>
              <w:divBdr>
                <w:top w:val="none" w:sz="0" w:space="0" w:color="auto"/>
                <w:left w:val="none" w:sz="0" w:space="0" w:color="auto"/>
                <w:bottom w:val="none" w:sz="0" w:space="0" w:color="auto"/>
                <w:right w:val="none" w:sz="0" w:space="0" w:color="auto"/>
              </w:divBdr>
              <w:divsChild>
                <w:div w:id="1087847910">
                  <w:marLeft w:val="0"/>
                  <w:marRight w:val="0"/>
                  <w:marTop w:val="0"/>
                  <w:marBottom w:val="0"/>
                  <w:divBdr>
                    <w:top w:val="none" w:sz="0" w:space="0" w:color="auto"/>
                    <w:left w:val="none" w:sz="0" w:space="0" w:color="auto"/>
                    <w:bottom w:val="none" w:sz="0" w:space="0" w:color="auto"/>
                    <w:right w:val="none" w:sz="0" w:space="0" w:color="auto"/>
                  </w:divBdr>
                  <w:divsChild>
                    <w:div w:id="502286399">
                      <w:marLeft w:val="0"/>
                      <w:marRight w:val="0"/>
                      <w:marTop w:val="0"/>
                      <w:marBottom w:val="0"/>
                      <w:divBdr>
                        <w:top w:val="none" w:sz="0" w:space="0" w:color="auto"/>
                        <w:left w:val="none" w:sz="0" w:space="0" w:color="auto"/>
                        <w:bottom w:val="none" w:sz="0" w:space="0" w:color="auto"/>
                        <w:right w:val="none" w:sz="0" w:space="0" w:color="auto"/>
                      </w:divBdr>
                      <w:divsChild>
                        <w:div w:id="1474326169">
                          <w:marLeft w:val="0"/>
                          <w:marRight w:val="0"/>
                          <w:marTop w:val="0"/>
                          <w:marBottom w:val="0"/>
                          <w:divBdr>
                            <w:top w:val="none" w:sz="0" w:space="0" w:color="auto"/>
                            <w:left w:val="none" w:sz="0" w:space="0" w:color="auto"/>
                            <w:bottom w:val="none" w:sz="0" w:space="0" w:color="auto"/>
                            <w:right w:val="none" w:sz="0" w:space="0" w:color="auto"/>
                          </w:divBdr>
                          <w:divsChild>
                            <w:div w:id="772945025">
                              <w:marLeft w:val="0"/>
                              <w:marRight w:val="0"/>
                              <w:marTop w:val="0"/>
                              <w:marBottom w:val="0"/>
                              <w:divBdr>
                                <w:top w:val="none" w:sz="0" w:space="0" w:color="auto"/>
                                <w:left w:val="none" w:sz="0" w:space="0" w:color="auto"/>
                                <w:bottom w:val="none" w:sz="0" w:space="0" w:color="auto"/>
                                <w:right w:val="none" w:sz="0" w:space="0" w:color="auto"/>
                              </w:divBdr>
                              <w:divsChild>
                                <w:div w:id="948515124">
                                  <w:marLeft w:val="0"/>
                                  <w:marRight w:val="0"/>
                                  <w:marTop w:val="0"/>
                                  <w:marBottom w:val="0"/>
                                  <w:divBdr>
                                    <w:top w:val="none" w:sz="0" w:space="0" w:color="auto"/>
                                    <w:left w:val="none" w:sz="0" w:space="0" w:color="auto"/>
                                    <w:bottom w:val="none" w:sz="0" w:space="0" w:color="auto"/>
                                    <w:right w:val="none" w:sz="0" w:space="0" w:color="auto"/>
                                  </w:divBdr>
                                  <w:divsChild>
                                    <w:div w:id="981808123">
                                      <w:marLeft w:val="0"/>
                                      <w:marRight w:val="0"/>
                                      <w:marTop w:val="0"/>
                                      <w:marBottom w:val="0"/>
                                      <w:divBdr>
                                        <w:top w:val="none" w:sz="0" w:space="0" w:color="auto"/>
                                        <w:left w:val="none" w:sz="0" w:space="0" w:color="auto"/>
                                        <w:bottom w:val="none" w:sz="0" w:space="0" w:color="auto"/>
                                        <w:right w:val="none" w:sz="0" w:space="0" w:color="auto"/>
                                      </w:divBdr>
                                      <w:divsChild>
                                        <w:div w:id="1118599048">
                                          <w:marLeft w:val="0"/>
                                          <w:marRight w:val="0"/>
                                          <w:marTop w:val="0"/>
                                          <w:marBottom w:val="0"/>
                                          <w:divBdr>
                                            <w:top w:val="none" w:sz="0" w:space="0" w:color="auto"/>
                                            <w:left w:val="none" w:sz="0" w:space="0" w:color="auto"/>
                                            <w:bottom w:val="none" w:sz="0" w:space="0" w:color="auto"/>
                                            <w:right w:val="none" w:sz="0" w:space="0" w:color="auto"/>
                                          </w:divBdr>
                                          <w:divsChild>
                                            <w:div w:id="1010180190">
                                              <w:marLeft w:val="0"/>
                                              <w:marRight w:val="0"/>
                                              <w:marTop w:val="0"/>
                                              <w:marBottom w:val="0"/>
                                              <w:divBdr>
                                                <w:top w:val="none" w:sz="0" w:space="0" w:color="auto"/>
                                                <w:left w:val="none" w:sz="0" w:space="0" w:color="auto"/>
                                                <w:bottom w:val="none" w:sz="0" w:space="0" w:color="auto"/>
                                                <w:right w:val="none" w:sz="0" w:space="0" w:color="auto"/>
                                              </w:divBdr>
                                              <w:divsChild>
                                                <w:div w:id="1926181009">
                                                  <w:marLeft w:val="0"/>
                                                  <w:marRight w:val="0"/>
                                                  <w:marTop w:val="0"/>
                                                  <w:marBottom w:val="0"/>
                                                  <w:divBdr>
                                                    <w:top w:val="none" w:sz="0" w:space="0" w:color="auto"/>
                                                    <w:left w:val="none" w:sz="0" w:space="0" w:color="auto"/>
                                                    <w:bottom w:val="none" w:sz="0" w:space="0" w:color="auto"/>
                                                    <w:right w:val="none" w:sz="0" w:space="0" w:color="auto"/>
                                                  </w:divBdr>
                                                  <w:divsChild>
                                                    <w:div w:id="863716416">
                                                      <w:marLeft w:val="0"/>
                                                      <w:marRight w:val="0"/>
                                                      <w:marTop w:val="0"/>
                                                      <w:marBottom w:val="0"/>
                                                      <w:divBdr>
                                                        <w:top w:val="none" w:sz="0" w:space="0" w:color="auto"/>
                                                        <w:left w:val="none" w:sz="0" w:space="0" w:color="auto"/>
                                                        <w:bottom w:val="none" w:sz="0" w:space="0" w:color="auto"/>
                                                        <w:right w:val="none" w:sz="0" w:space="0" w:color="auto"/>
                                                      </w:divBdr>
                                                      <w:divsChild>
                                                        <w:div w:id="203156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8467986">
      <w:bodyDiv w:val="1"/>
      <w:marLeft w:val="0"/>
      <w:marRight w:val="0"/>
      <w:marTop w:val="0"/>
      <w:marBottom w:val="0"/>
      <w:divBdr>
        <w:top w:val="none" w:sz="0" w:space="0" w:color="auto"/>
        <w:left w:val="none" w:sz="0" w:space="0" w:color="auto"/>
        <w:bottom w:val="none" w:sz="0" w:space="0" w:color="auto"/>
        <w:right w:val="none" w:sz="0" w:space="0" w:color="auto"/>
      </w:divBdr>
      <w:divsChild>
        <w:div w:id="1375884218">
          <w:marLeft w:val="0"/>
          <w:marRight w:val="0"/>
          <w:marTop w:val="0"/>
          <w:marBottom w:val="0"/>
          <w:divBdr>
            <w:top w:val="none" w:sz="0" w:space="0" w:color="auto"/>
            <w:left w:val="none" w:sz="0" w:space="0" w:color="auto"/>
            <w:bottom w:val="none" w:sz="0" w:space="0" w:color="auto"/>
            <w:right w:val="none" w:sz="0" w:space="0" w:color="auto"/>
          </w:divBdr>
          <w:divsChild>
            <w:div w:id="140004126">
              <w:marLeft w:val="0"/>
              <w:marRight w:val="0"/>
              <w:marTop w:val="0"/>
              <w:marBottom w:val="0"/>
              <w:divBdr>
                <w:top w:val="none" w:sz="0" w:space="0" w:color="auto"/>
                <w:left w:val="none" w:sz="0" w:space="0" w:color="auto"/>
                <w:bottom w:val="none" w:sz="0" w:space="0" w:color="auto"/>
                <w:right w:val="none" w:sz="0" w:space="0" w:color="auto"/>
              </w:divBdr>
              <w:divsChild>
                <w:div w:id="1877617407">
                  <w:marLeft w:val="0"/>
                  <w:marRight w:val="0"/>
                  <w:marTop w:val="0"/>
                  <w:marBottom w:val="0"/>
                  <w:divBdr>
                    <w:top w:val="none" w:sz="0" w:space="0" w:color="auto"/>
                    <w:left w:val="none" w:sz="0" w:space="0" w:color="auto"/>
                    <w:bottom w:val="none" w:sz="0" w:space="0" w:color="auto"/>
                    <w:right w:val="none" w:sz="0" w:space="0" w:color="auto"/>
                  </w:divBdr>
                  <w:divsChild>
                    <w:div w:id="1482648426">
                      <w:marLeft w:val="0"/>
                      <w:marRight w:val="0"/>
                      <w:marTop w:val="0"/>
                      <w:marBottom w:val="0"/>
                      <w:divBdr>
                        <w:top w:val="none" w:sz="0" w:space="0" w:color="auto"/>
                        <w:left w:val="none" w:sz="0" w:space="0" w:color="auto"/>
                        <w:bottom w:val="none" w:sz="0" w:space="0" w:color="auto"/>
                        <w:right w:val="none" w:sz="0" w:space="0" w:color="auto"/>
                      </w:divBdr>
                      <w:divsChild>
                        <w:div w:id="1720396201">
                          <w:marLeft w:val="0"/>
                          <w:marRight w:val="0"/>
                          <w:marTop w:val="0"/>
                          <w:marBottom w:val="0"/>
                          <w:divBdr>
                            <w:top w:val="none" w:sz="0" w:space="0" w:color="auto"/>
                            <w:left w:val="none" w:sz="0" w:space="0" w:color="auto"/>
                            <w:bottom w:val="none" w:sz="0" w:space="0" w:color="auto"/>
                            <w:right w:val="none" w:sz="0" w:space="0" w:color="auto"/>
                          </w:divBdr>
                          <w:divsChild>
                            <w:div w:id="917206697">
                              <w:marLeft w:val="0"/>
                              <w:marRight w:val="0"/>
                              <w:marTop w:val="0"/>
                              <w:marBottom w:val="0"/>
                              <w:divBdr>
                                <w:top w:val="none" w:sz="0" w:space="0" w:color="auto"/>
                                <w:left w:val="none" w:sz="0" w:space="0" w:color="auto"/>
                                <w:bottom w:val="none" w:sz="0" w:space="0" w:color="auto"/>
                                <w:right w:val="none" w:sz="0" w:space="0" w:color="auto"/>
                              </w:divBdr>
                              <w:divsChild>
                                <w:div w:id="25524994">
                                  <w:marLeft w:val="0"/>
                                  <w:marRight w:val="0"/>
                                  <w:marTop w:val="0"/>
                                  <w:marBottom w:val="0"/>
                                  <w:divBdr>
                                    <w:top w:val="none" w:sz="0" w:space="0" w:color="auto"/>
                                    <w:left w:val="none" w:sz="0" w:space="0" w:color="auto"/>
                                    <w:bottom w:val="none" w:sz="0" w:space="0" w:color="auto"/>
                                    <w:right w:val="none" w:sz="0" w:space="0" w:color="auto"/>
                                  </w:divBdr>
                                  <w:divsChild>
                                    <w:div w:id="425075821">
                                      <w:marLeft w:val="0"/>
                                      <w:marRight w:val="0"/>
                                      <w:marTop w:val="0"/>
                                      <w:marBottom w:val="0"/>
                                      <w:divBdr>
                                        <w:top w:val="none" w:sz="0" w:space="0" w:color="auto"/>
                                        <w:left w:val="none" w:sz="0" w:space="0" w:color="auto"/>
                                        <w:bottom w:val="none" w:sz="0" w:space="0" w:color="auto"/>
                                        <w:right w:val="none" w:sz="0" w:space="0" w:color="auto"/>
                                      </w:divBdr>
                                      <w:divsChild>
                                        <w:div w:id="1024864126">
                                          <w:marLeft w:val="0"/>
                                          <w:marRight w:val="0"/>
                                          <w:marTop w:val="0"/>
                                          <w:marBottom w:val="0"/>
                                          <w:divBdr>
                                            <w:top w:val="none" w:sz="0" w:space="0" w:color="auto"/>
                                            <w:left w:val="none" w:sz="0" w:space="0" w:color="auto"/>
                                            <w:bottom w:val="none" w:sz="0" w:space="0" w:color="auto"/>
                                            <w:right w:val="none" w:sz="0" w:space="0" w:color="auto"/>
                                          </w:divBdr>
                                          <w:divsChild>
                                            <w:div w:id="1004551774">
                                              <w:marLeft w:val="0"/>
                                              <w:marRight w:val="0"/>
                                              <w:marTop w:val="0"/>
                                              <w:marBottom w:val="0"/>
                                              <w:divBdr>
                                                <w:top w:val="none" w:sz="0" w:space="0" w:color="auto"/>
                                                <w:left w:val="none" w:sz="0" w:space="0" w:color="auto"/>
                                                <w:bottom w:val="none" w:sz="0" w:space="0" w:color="auto"/>
                                                <w:right w:val="none" w:sz="0" w:space="0" w:color="auto"/>
                                              </w:divBdr>
                                              <w:divsChild>
                                                <w:div w:id="1316566475">
                                                  <w:marLeft w:val="0"/>
                                                  <w:marRight w:val="0"/>
                                                  <w:marTop w:val="0"/>
                                                  <w:marBottom w:val="0"/>
                                                  <w:divBdr>
                                                    <w:top w:val="none" w:sz="0" w:space="0" w:color="auto"/>
                                                    <w:left w:val="none" w:sz="0" w:space="0" w:color="auto"/>
                                                    <w:bottom w:val="none" w:sz="0" w:space="0" w:color="auto"/>
                                                    <w:right w:val="none" w:sz="0" w:space="0" w:color="auto"/>
                                                  </w:divBdr>
                                                  <w:divsChild>
                                                    <w:div w:id="847331164">
                                                      <w:marLeft w:val="0"/>
                                                      <w:marRight w:val="0"/>
                                                      <w:marTop w:val="0"/>
                                                      <w:marBottom w:val="0"/>
                                                      <w:divBdr>
                                                        <w:top w:val="none" w:sz="0" w:space="0" w:color="auto"/>
                                                        <w:left w:val="none" w:sz="0" w:space="0" w:color="auto"/>
                                                        <w:bottom w:val="none" w:sz="0" w:space="0" w:color="auto"/>
                                                        <w:right w:val="none" w:sz="0" w:space="0" w:color="auto"/>
                                                      </w:divBdr>
                                                      <w:divsChild>
                                                        <w:div w:id="113891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9629825">
      <w:bodyDiv w:val="1"/>
      <w:marLeft w:val="0"/>
      <w:marRight w:val="0"/>
      <w:marTop w:val="0"/>
      <w:marBottom w:val="0"/>
      <w:divBdr>
        <w:top w:val="none" w:sz="0" w:space="0" w:color="auto"/>
        <w:left w:val="none" w:sz="0" w:space="0" w:color="auto"/>
        <w:bottom w:val="none" w:sz="0" w:space="0" w:color="auto"/>
        <w:right w:val="none" w:sz="0" w:space="0" w:color="auto"/>
      </w:divBdr>
      <w:divsChild>
        <w:div w:id="2101637973">
          <w:marLeft w:val="0"/>
          <w:marRight w:val="0"/>
          <w:marTop w:val="0"/>
          <w:marBottom w:val="0"/>
          <w:divBdr>
            <w:top w:val="none" w:sz="0" w:space="0" w:color="auto"/>
            <w:left w:val="none" w:sz="0" w:space="0" w:color="auto"/>
            <w:bottom w:val="none" w:sz="0" w:space="0" w:color="auto"/>
            <w:right w:val="none" w:sz="0" w:space="0" w:color="auto"/>
          </w:divBdr>
          <w:divsChild>
            <w:div w:id="1848518809">
              <w:marLeft w:val="0"/>
              <w:marRight w:val="0"/>
              <w:marTop w:val="0"/>
              <w:marBottom w:val="0"/>
              <w:divBdr>
                <w:top w:val="none" w:sz="0" w:space="0" w:color="auto"/>
                <w:left w:val="none" w:sz="0" w:space="0" w:color="auto"/>
                <w:bottom w:val="none" w:sz="0" w:space="0" w:color="auto"/>
                <w:right w:val="none" w:sz="0" w:space="0" w:color="auto"/>
              </w:divBdr>
              <w:divsChild>
                <w:div w:id="402024171">
                  <w:marLeft w:val="0"/>
                  <w:marRight w:val="4350"/>
                  <w:marTop w:val="0"/>
                  <w:marBottom w:val="0"/>
                  <w:divBdr>
                    <w:top w:val="none" w:sz="0" w:space="0" w:color="auto"/>
                    <w:left w:val="none" w:sz="0" w:space="0" w:color="auto"/>
                    <w:bottom w:val="none" w:sz="0" w:space="0" w:color="auto"/>
                    <w:right w:val="none" w:sz="0" w:space="0" w:color="auto"/>
                  </w:divBdr>
                  <w:divsChild>
                    <w:div w:id="577982944">
                      <w:marLeft w:val="3600"/>
                      <w:marRight w:val="0"/>
                      <w:marTop w:val="0"/>
                      <w:marBottom w:val="0"/>
                      <w:divBdr>
                        <w:top w:val="none" w:sz="0" w:space="0" w:color="auto"/>
                        <w:left w:val="none" w:sz="0" w:space="0" w:color="auto"/>
                        <w:bottom w:val="none" w:sz="0" w:space="0" w:color="auto"/>
                        <w:right w:val="none" w:sz="0" w:space="0" w:color="auto"/>
                      </w:divBdr>
                      <w:divsChild>
                        <w:div w:id="9687795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058873">
      <w:bodyDiv w:val="1"/>
      <w:marLeft w:val="0"/>
      <w:marRight w:val="0"/>
      <w:marTop w:val="0"/>
      <w:marBottom w:val="0"/>
      <w:divBdr>
        <w:top w:val="none" w:sz="0" w:space="0" w:color="auto"/>
        <w:left w:val="none" w:sz="0" w:space="0" w:color="auto"/>
        <w:bottom w:val="none" w:sz="0" w:space="0" w:color="auto"/>
        <w:right w:val="none" w:sz="0" w:space="0" w:color="auto"/>
      </w:divBdr>
      <w:divsChild>
        <w:div w:id="131294739">
          <w:marLeft w:val="0"/>
          <w:marRight w:val="0"/>
          <w:marTop w:val="0"/>
          <w:marBottom w:val="0"/>
          <w:divBdr>
            <w:top w:val="none" w:sz="0" w:space="0" w:color="auto"/>
            <w:left w:val="none" w:sz="0" w:space="0" w:color="auto"/>
            <w:bottom w:val="none" w:sz="0" w:space="0" w:color="auto"/>
            <w:right w:val="none" w:sz="0" w:space="0" w:color="auto"/>
          </w:divBdr>
          <w:divsChild>
            <w:div w:id="635644801">
              <w:marLeft w:val="0"/>
              <w:marRight w:val="0"/>
              <w:marTop w:val="0"/>
              <w:marBottom w:val="0"/>
              <w:divBdr>
                <w:top w:val="none" w:sz="0" w:space="0" w:color="auto"/>
                <w:left w:val="none" w:sz="0" w:space="0" w:color="auto"/>
                <w:bottom w:val="none" w:sz="0" w:space="0" w:color="auto"/>
                <w:right w:val="none" w:sz="0" w:space="0" w:color="auto"/>
              </w:divBdr>
              <w:divsChild>
                <w:div w:id="686948927">
                  <w:marLeft w:val="0"/>
                  <w:marRight w:val="0"/>
                  <w:marTop w:val="0"/>
                  <w:marBottom w:val="0"/>
                  <w:divBdr>
                    <w:top w:val="none" w:sz="0" w:space="0" w:color="auto"/>
                    <w:left w:val="none" w:sz="0" w:space="0" w:color="auto"/>
                    <w:bottom w:val="none" w:sz="0" w:space="0" w:color="auto"/>
                    <w:right w:val="none" w:sz="0" w:space="0" w:color="auto"/>
                  </w:divBdr>
                  <w:divsChild>
                    <w:div w:id="1584072112">
                      <w:marLeft w:val="0"/>
                      <w:marRight w:val="0"/>
                      <w:marTop w:val="0"/>
                      <w:marBottom w:val="0"/>
                      <w:divBdr>
                        <w:top w:val="none" w:sz="0" w:space="0" w:color="auto"/>
                        <w:left w:val="none" w:sz="0" w:space="0" w:color="auto"/>
                        <w:bottom w:val="none" w:sz="0" w:space="0" w:color="auto"/>
                        <w:right w:val="none" w:sz="0" w:space="0" w:color="auto"/>
                      </w:divBdr>
                      <w:divsChild>
                        <w:div w:id="1423647549">
                          <w:marLeft w:val="0"/>
                          <w:marRight w:val="0"/>
                          <w:marTop w:val="0"/>
                          <w:marBottom w:val="0"/>
                          <w:divBdr>
                            <w:top w:val="none" w:sz="0" w:space="0" w:color="auto"/>
                            <w:left w:val="none" w:sz="0" w:space="0" w:color="auto"/>
                            <w:bottom w:val="none" w:sz="0" w:space="0" w:color="auto"/>
                            <w:right w:val="none" w:sz="0" w:space="0" w:color="auto"/>
                          </w:divBdr>
                          <w:divsChild>
                            <w:div w:id="1084062240">
                              <w:marLeft w:val="0"/>
                              <w:marRight w:val="0"/>
                              <w:marTop w:val="0"/>
                              <w:marBottom w:val="0"/>
                              <w:divBdr>
                                <w:top w:val="none" w:sz="0" w:space="0" w:color="auto"/>
                                <w:left w:val="none" w:sz="0" w:space="0" w:color="auto"/>
                                <w:bottom w:val="none" w:sz="0" w:space="0" w:color="auto"/>
                                <w:right w:val="none" w:sz="0" w:space="0" w:color="auto"/>
                              </w:divBdr>
                              <w:divsChild>
                                <w:div w:id="1451704126">
                                  <w:marLeft w:val="0"/>
                                  <w:marRight w:val="0"/>
                                  <w:marTop w:val="0"/>
                                  <w:marBottom w:val="0"/>
                                  <w:divBdr>
                                    <w:top w:val="none" w:sz="0" w:space="0" w:color="auto"/>
                                    <w:left w:val="none" w:sz="0" w:space="0" w:color="auto"/>
                                    <w:bottom w:val="none" w:sz="0" w:space="0" w:color="auto"/>
                                    <w:right w:val="none" w:sz="0" w:space="0" w:color="auto"/>
                                  </w:divBdr>
                                  <w:divsChild>
                                    <w:div w:id="147748971">
                                      <w:marLeft w:val="0"/>
                                      <w:marRight w:val="0"/>
                                      <w:marTop w:val="0"/>
                                      <w:marBottom w:val="0"/>
                                      <w:divBdr>
                                        <w:top w:val="none" w:sz="0" w:space="0" w:color="auto"/>
                                        <w:left w:val="none" w:sz="0" w:space="0" w:color="auto"/>
                                        <w:bottom w:val="none" w:sz="0" w:space="0" w:color="auto"/>
                                        <w:right w:val="none" w:sz="0" w:space="0" w:color="auto"/>
                                      </w:divBdr>
                                      <w:divsChild>
                                        <w:div w:id="885334132">
                                          <w:marLeft w:val="0"/>
                                          <w:marRight w:val="0"/>
                                          <w:marTop w:val="0"/>
                                          <w:marBottom w:val="0"/>
                                          <w:divBdr>
                                            <w:top w:val="none" w:sz="0" w:space="0" w:color="auto"/>
                                            <w:left w:val="none" w:sz="0" w:space="0" w:color="auto"/>
                                            <w:bottom w:val="none" w:sz="0" w:space="0" w:color="auto"/>
                                            <w:right w:val="none" w:sz="0" w:space="0" w:color="auto"/>
                                          </w:divBdr>
                                          <w:divsChild>
                                            <w:div w:id="921991691">
                                              <w:marLeft w:val="0"/>
                                              <w:marRight w:val="0"/>
                                              <w:marTop w:val="0"/>
                                              <w:marBottom w:val="0"/>
                                              <w:divBdr>
                                                <w:top w:val="none" w:sz="0" w:space="0" w:color="auto"/>
                                                <w:left w:val="none" w:sz="0" w:space="0" w:color="auto"/>
                                                <w:bottom w:val="none" w:sz="0" w:space="0" w:color="auto"/>
                                                <w:right w:val="none" w:sz="0" w:space="0" w:color="auto"/>
                                              </w:divBdr>
                                              <w:divsChild>
                                                <w:div w:id="1311059365">
                                                  <w:marLeft w:val="0"/>
                                                  <w:marRight w:val="0"/>
                                                  <w:marTop w:val="0"/>
                                                  <w:marBottom w:val="0"/>
                                                  <w:divBdr>
                                                    <w:top w:val="none" w:sz="0" w:space="0" w:color="auto"/>
                                                    <w:left w:val="none" w:sz="0" w:space="0" w:color="auto"/>
                                                    <w:bottom w:val="none" w:sz="0" w:space="0" w:color="auto"/>
                                                    <w:right w:val="none" w:sz="0" w:space="0" w:color="auto"/>
                                                  </w:divBdr>
                                                  <w:divsChild>
                                                    <w:div w:id="430391843">
                                                      <w:marLeft w:val="0"/>
                                                      <w:marRight w:val="0"/>
                                                      <w:marTop w:val="0"/>
                                                      <w:marBottom w:val="0"/>
                                                      <w:divBdr>
                                                        <w:top w:val="none" w:sz="0" w:space="0" w:color="auto"/>
                                                        <w:left w:val="none" w:sz="0" w:space="0" w:color="auto"/>
                                                        <w:bottom w:val="none" w:sz="0" w:space="0" w:color="auto"/>
                                                        <w:right w:val="none" w:sz="0" w:space="0" w:color="auto"/>
                                                      </w:divBdr>
                                                      <w:divsChild>
                                                        <w:div w:id="166712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1127910">
      <w:bodyDiv w:val="1"/>
      <w:marLeft w:val="0"/>
      <w:marRight w:val="0"/>
      <w:marTop w:val="0"/>
      <w:marBottom w:val="0"/>
      <w:divBdr>
        <w:top w:val="none" w:sz="0" w:space="0" w:color="auto"/>
        <w:left w:val="none" w:sz="0" w:space="0" w:color="auto"/>
        <w:bottom w:val="none" w:sz="0" w:space="0" w:color="auto"/>
        <w:right w:val="none" w:sz="0" w:space="0" w:color="auto"/>
      </w:divBdr>
      <w:divsChild>
        <w:div w:id="2124228815">
          <w:marLeft w:val="0"/>
          <w:marRight w:val="1"/>
          <w:marTop w:val="0"/>
          <w:marBottom w:val="0"/>
          <w:divBdr>
            <w:top w:val="none" w:sz="0" w:space="0" w:color="auto"/>
            <w:left w:val="none" w:sz="0" w:space="0" w:color="auto"/>
            <w:bottom w:val="none" w:sz="0" w:space="0" w:color="auto"/>
            <w:right w:val="none" w:sz="0" w:space="0" w:color="auto"/>
          </w:divBdr>
          <w:divsChild>
            <w:div w:id="1201209854">
              <w:marLeft w:val="0"/>
              <w:marRight w:val="0"/>
              <w:marTop w:val="0"/>
              <w:marBottom w:val="0"/>
              <w:divBdr>
                <w:top w:val="none" w:sz="0" w:space="0" w:color="auto"/>
                <w:left w:val="none" w:sz="0" w:space="0" w:color="auto"/>
                <w:bottom w:val="none" w:sz="0" w:space="0" w:color="auto"/>
                <w:right w:val="none" w:sz="0" w:space="0" w:color="auto"/>
              </w:divBdr>
              <w:divsChild>
                <w:div w:id="847403036">
                  <w:marLeft w:val="0"/>
                  <w:marRight w:val="1"/>
                  <w:marTop w:val="0"/>
                  <w:marBottom w:val="0"/>
                  <w:divBdr>
                    <w:top w:val="none" w:sz="0" w:space="0" w:color="auto"/>
                    <w:left w:val="none" w:sz="0" w:space="0" w:color="auto"/>
                    <w:bottom w:val="none" w:sz="0" w:space="0" w:color="auto"/>
                    <w:right w:val="none" w:sz="0" w:space="0" w:color="auto"/>
                  </w:divBdr>
                  <w:divsChild>
                    <w:div w:id="138108699">
                      <w:marLeft w:val="0"/>
                      <w:marRight w:val="0"/>
                      <w:marTop w:val="0"/>
                      <w:marBottom w:val="0"/>
                      <w:divBdr>
                        <w:top w:val="none" w:sz="0" w:space="0" w:color="auto"/>
                        <w:left w:val="none" w:sz="0" w:space="0" w:color="auto"/>
                        <w:bottom w:val="none" w:sz="0" w:space="0" w:color="auto"/>
                        <w:right w:val="none" w:sz="0" w:space="0" w:color="auto"/>
                      </w:divBdr>
                      <w:divsChild>
                        <w:div w:id="517351053">
                          <w:marLeft w:val="0"/>
                          <w:marRight w:val="0"/>
                          <w:marTop w:val="0"/>
                          <w:marBottom w:val="0"/>
                          <w:divBdr>
                            <w:top w:val="none" w:sz="0" w:space="0" w:color="auto"/>
                            <w:left w:val="none" w:sz="0" w:space="0" w:color="auto"/>
                            <w:bottom w:val="none" w:sz="0" w:space="0" w:color="auto"/>
                            <w:right w:val="none" w:sz="0" w:space="0" w:color="auto"/>
                          </w:divBdr>
                          <w:divsChild>
                            <w:div w:id="151992108">
                              <w:marLeft w:val="0"/>
                              <w:marRight w:val="0"/>
                              <w:marTop w:val="120"/>
                              <w:marBottom w:val="360"/>
                              <w:divBdr>
                                <w:top w:val="none" w:sz="0" w:space="0" w:color="auto"/>
                                <w:left w:val="none" w:sz="0" w:space="0" w:color="auto"/>
                                <w:bottom w:val="none" w:sz="0" w:space="0" w:color="auto"/>
                                <w:right w:val="none" w:sz="0" w:space="0" w:color="auto"/>
                              </w:divBdr>
                              <w:divsChild>
                                <w:div w:id="1502771622">
                                  <w:marLeft w:val="420"/>
                                  <w:marRight w:val="0"/>
                                  <w:marTop w:val="0"/>
                                  <w:marBottom w:val="0"/>
                                  <w:divBdr>
                                    <w:top w:val="none" w:sz="0" w:space="0" w:color="auto"/>
                                    <w:left w:val="none" w:sz="0" w:space="0" w:color="auto"/>
                                    <w:bottom w:val="none" w:sz="0" w:space="0" w:color="auto"/>
                                    <w:right w:val="none" w:sz="0" w:space="0" w:color="auto"/>
                                  </w:divBdr>
                                  <w:divsChild>
                                    <w:div w:id="192526129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2082186">
      <w:bodyDiv w:val="1"/>
      <w:marLeft w:val="0"/>
      <w:marRight w:val="0"/>
      <w:marTop w:val="0"/>
      <w:marBottom w:val="0"/>
      <w:divBdr>
        <w:top w:val="none" w:sz="0" w:space="0" w:color="auto"/>
        <w:left w:val="none" w:sz="0" w:space="0" w:color="auto"/>
        <w:bottom w:val="none" w:sz="0" w:space="0" w:color="auto"/>
        <w:right w:val="none" w:sz="0" w:space="0" w:color="auto"/>
      </w:divBdr>
    </w:div>
    <w:div w:id="685209637">
      <w:bodyDiv w:val="1"/>
      <w:marLeft w:val="0"/>
      <w:marRight w:val="0"/>
      <w:marTop w:val="0"/>
      <w:marBottom w:val="0"/>
      <w:divBdr>
        <w:top w:val="none" w:sz="0" w:space="0" w:color="auto"/>
        <w:left w:val="none" w:sz="0" w:space="0" w:color="auto"/>
        <w:bottom w:val="none" w:sz="0" w:space="0" w:color="auto"/>
        <w:right w:val="none" w:sz="0" w:space="0" w:color="auto"/>
      </w:divBdr>
      <w:divsChild>
        <w:div w:id="1443845614">
          <w:marLeft w:val="0"/>
          <w:marRight w:val="1"/>
          <w:marTop w:val="0"/>
          <w:marBottom w:val="0"/>
          <w:divBdr>
            <w:top w:val="none" w:sz="0" w:space="0" w:color="auto"/>
            <w:left w:val="none" w:sz="0" w:space="0" w:color="auto"/>
            <w:bottom w:val="none" w:sz="0" w:space="0" w:color="auto"/>
            <w:right w:val="none" w:sz="0" w:space="0" w:color="auto"/>
          </w:divBdr>
          <w:divsChild>
            <w:div w:id="261037617">
              <w:marLeft w:val="0"/>
              <w:marRight w:val="0"/>
              <w:marTop w:val="0"/>
              <w:marBottom w:val="0"/>
              <w:divBdr>
                <w:top w:val="none" w:sz="0" w:space="0" w:color="auto"/>
                <w:left w:val="none" w:sz="0" w:space="0" w:color="auto"/>
                <w:bottom w:val="none" w:sz="0" w:space="0" w:color="auto"/>
                <w:right w:val="none" w:sz="0" w:space="0" w:color="auto"/>
              </w:divBdr>
              <w:divsChild>
                <w:div w:id="1227106450">
                  <w:marLeft w:val="0"/>
                  <w:marRight w:val="1"/>
                  <w:marTop w:val="0"/>
                  <w:marBottom w:val="0"/>
                  <w:divBdr>
                    <w:top w:val="none" w:sz="0" w:space="0" w:color="auto"/>
                    <w:left w:val="none" w:sz="0" w:space="0" w:color="auto"/>
                    <w:bottom w:val="none" w:sz="0" w:space="0" w:color="auto"/>
                    <w:right w:val="none" w:sz="0" w:space="0" w:color="auto"/>
                  </w:divBdr>
                  <w:divsChild>
                    <w:div w:id="648365923">
                      <w:marLeft w:val="0"/>
                      <w:marRight w:val="0"/>
                      <w:marTop w:val="0"/>
                      <w:marBottom w:val="0"/>
                      <w:divBdr>
                        <w:top w:val="none" w:sz="0" w:space="0" w:color="auto"/>
                        <w:left w:val="none" w:sz="0" w:space="0" w:color="auto"/>
                        <w:bottom w:val="none" w:sz="0" w:space="0" w:color="auto"/>
                        <w:right w:val="none" w:sz="0" w:space="0" w:color="auto"/>
                      </w:divBdr>
                      <w:divsChild>
                        <w:div w:id="1364552442">
                          <w:marLeft w:val="0"/>
                          <w:marRight w:val="0"/>
                          <w:marTop w:val="0"/>
                          <w:marBottom w:val="0"/>
                          <w:divBdr>
                            <w:top w:val="none" w:sz="0" w:space="0" w:color="auto"/>
                            <w:left w:val="none" w:sz="0" w:space="0" w:color="auto"/>
                            <w:bottom w:val="none" w:sz="0" w:space="0" w:color="auto"/>
                            <w:right w:val="none" w:sz="0" w:space="0" w:color="auto"/>
                          </w:divBdr>
                          <w:divsChild>
                            <w:div w:id="814106744">
                              <w:marLeft w:val="0"/>
                              <w:marRight w:val="0"/>
                              <w:marTop w:val="120"/>
                              <w:marBottom w:val="360"/>
                              <w:divBdr>
                                <w:top w:val="none" w:sz="0" w:space="0" w:color="auto"/>
                                <w:left w:val="none" w:sz="0" w:space="0" w:color="auto"/>
                                <w:bottom w:val="none" w:sz="0" w:space="0" w:color="auto"/>
                                <w:right w:val="none" w:sz="0" w:space="0" w:color="auto"/>
                              </w:divBdr>
                              <w:divsChild>
                                <w:div w:id="259800123">
                                  <w:marLeft w:val="420"/>
                                  <w:marRight w:val="0"/>
                                  <w:marTop w:val="0"/>
                                  <w:marBottom w:val="0"/>
                                  <w:divBdr>
                                    <w:top w:val="none" w:sz="0" w:space="0" w:color="auto"/>
                                    <w:left w:val="none" w:sz="0" w:space="0" w:color="auto"/>
                                    <w:bottom w:val="none" w:sz="0" w:space="0" w:color="auto"/>
                                    <w:right w:val="none" w:sz="0" w:space="0" w:color="auto"/>
                                  </w:divBdr>
                                  <w:divsChild>
                                    <w:div w:id="711460319">
                                      <w:marLeft w:val="0"/>
                                      <w:marRight w:val="0"/>
                                      <w:marTop w:val="34"/>
                                      <w:marBottom w:val="34"/>
                                      <w:divBdr>
                                        <w:top w:val="none" w:sz="0" w:space="0" w:color="auto"/>
                                        <w:left w:val="none" w:sz="0" w:space="0" w:color="auto"/>
                                        <w:bottom w:val="none" w:sz="0" w:space="0" w:color="auto"/>
                                        <w:right w:val="none" w:sz="0" w:space="0" w:color="auto"/>
                                      </w:divBdr>
                                    </w:div>
                                    <w:div w:id="421998062">
                                      <w:marLeft w:val="0"/>
                                      <w:marRight w:val="0"/>
                                      <w:marTop w:val="0"/>
                                      <w:marBottom w:val="0"/>
                                      <w:divBdr>
                                        <w:top w:val="none" w:sz="0" w:space="0" w:color="auto"/>
                                        <w:left w:val="none" w:sz="0" w:space="0" w:color="auto"/>
                                        <w:bottom w:val="none" w:sz="0" w:space="0" w:color="auto"/>
                                        <w:right w:val="none" w:sz="0" w:space="0" w:color="auto"/>
                                      </w:divBdr>
                                      <w:divsChild>
                                        <w:div w:id="10943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5799666">
      <w:bodyDiv w:val="1"/>
      <w:marLeft w:val="0"/>
      <w:marRight w:val="0"/>
      <w:marTop w:val="0"/>
      <w:marBottom w:val="0"/>
      <w:divBdr>
        <w:top w:val="none" w:sz="0" w:space="0" w:color="auto"/>
        <w:left w:val="none" w:sz="0" w:space="0" w:color="auto"/>
        <w:bottom w:val="none" w:sz="0" w:space="0" w:color="auto"/>
        <w:right w:val="none" w:sz="0" w:space="0" w:color="auto"/>
      </w:divBdr>
      <w:divsChild>
        <w:div w:id="164832470">
          <w:marLeft w:val="0"/>
          <w:marRight w:val="0"/>
          <w:marTop w:val="0"/>
          <w:marBottom w:val="0"/>
          <w:divBdr>
            <w:top w:val="none" w:sz="0" w:space="0" w:color="auto"/>
            <w:left w:val="none" w:sz="0" w:space="0" w:color="auto"/>
            <w:bottom w:val="none" w:sz="0" w:space="0" w:color="auto"/>
            <w:right w:val="none" w:sz="0" w:space="0" w:color="auto"/>
          </w:divBdr>
        </w:div>
      </w:divsChild>
    </w:div>
    <w:div w:id="875855322">
      <w:bodyDiv w:val="1"/>
      <w:marLeft w:val="0"/>
      <w:marRight w:val="0"/>
      <w:marTop w:val="0"/>
      <w:marBottom w:val="0"/>
      <w:divBdr>
        <w:top w:val="none" w:sz="0" w:space="0" w:color="auto"/>
        <w:left w:val="none" w:sz="0" w:space="0" w:color="auto"/>
        <w:bottom w:val="none" w:sz="0" w:space="0" w:color="auto"/>
        <w:right w:val="none" w:sz="0" w:space="0" w:color="auto"/>
      </w:divBdr>
      <w:divsChild>
        <w:div w:id="2037194242">
          <w:marLeft w:val="0"/>
          <w:marRight w:val="0"/>
          <w:marTop w:val="0"/>
          <w:marBottom w:val="0"/>
          <w:divBdr>
            <w:top w:val="none" w:sz="0" w:space="0" w:color="auto"/>
            <w:left w:val="none" w:sz="0" w:space="0" w:color="auto"/>
            <w:bottom w:val="none" w:sz="0" w:space="0" w:color="auto"/>
            <w:right w:val="none" w:sz="0" w:space="0" w:color="auto"/>
          </w:divBdr>
          <w:divsChild>
            <w:div w:id="205527522">
              <w:marLeft w:val="0"/>
              <w:marRight w:val="0"/>
              <w:marTop w:val="75"/>
              <w:marBottom w:val="0"/>
              <w:divBdr>
                <w:top w:val="none" w:sz="0" w:space="0" w:color="auto"/>
                <w:left w:val="none" w:sz="0" w:space="0" w:color="auto"/>
                <w:bottom w:val="none" w:sz="0" w:space="0" w:color="auto"/>
                <w:right w:val="none" w:sz="0" w:space="0" w:color="auto"/>
              </w:divBdr>
              <w:divsChild>
                <w:div w:id="851189067">
                  <w:marLeft w:val="0"/>
                  <w:marRight w:val="0"/>
                  <w:marTop w:val="48"/>
                  <w:marBottom w:val="48"/>
                  <w:divBdr>
                    <w:top w:val="none" w:sz="0" w:space="0" w:color="auto"/>
                    <w:left w:val="none" w:sz="0" w:space="0" w:color="auto"/>
                    <w:bottom w:val="none" w:sz="0" w:space="0" w:color="auto"/>
                    <w:right w:val="none" w:sz="0" w:space="0" w:color="auto"/>
                  </w:divBdr>
                  <w:divsChild>
                    <w:div w:id="1990593728">
                      <w:marLeft w:val="0"/>
                      <w:marRight w:val="0"/>
                      <w:marTop w:val="0"/>
                      <w:marBottom w:val="0"/>
                      <w:divBdr>
                        <w:top w:val="none" w:sz="0" w:space="0" w:color="auto"/>
                        <w:left w:val="none" w:sz="0" w:space="0" w:color="auto"/>
                        <w:bottom w:val="none" w:sz="0" w:space="0" w:color="auto"/>
                        <w:right w:val="none" w:sz="0" w:space="0" w:color="auto"/>
                      </w:divBdr>
                    </w:div>
                  </w:divsChild>
                </w:div>
                <w:div w:id="1648822440">
                  <w:marLeft w:val="0"/>
                  <w:marRight w:val="0"/>
                  <w:marTop w:val="240"/>
                  <w:marBottom w:val="240"/>
                  <w:divBdr>
                    <w:top w:val="none" w:sz="0" w:space="0" w:color="auto"/>
                    <w:left w:val="none" w:sz="0" w:space="0" w:color="auto"/>
                    <w:bottom w:val="none" w:sz="0" w:space="0" w:color="auto"/>
                    <w:right w:val="none" w:sz="0" w:space="0" w:color="auto"/>
                  </w:divBdr>
                </w:div>
                <w:div w:id="594561375">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 w:id="941425073">
      <w:bodyDiv w:val="1"/>
      <w:marLeft w:val="0"/>
      <w:marRight w:val="0"/>
      <w:marTop w:val="0"/>
      <w:marBottom w:val="0"/>
      <w:divBdr>
        <w:top w:val="none" w:sz="0" w:space="0" w:color="auto"/>
        <w:left w:val="none" w:sz="0" w:space="0" w:color="auto"/>
        <w:bottom w:val="none" w:sz="0" w:space="0" w:color="auto"/>
        <w:right w:val="none" w:sz="0" w:space="0" w:color="auto"/>
      </w:divBdr>
      <w:divsChild>
        <w:div w:id="1465806727">
          <w:marLeft w:val="0"/>
          <w:marRight w:val="0"/>
          <w:marTop w:val="0"/>
          <w:marBottom w:val="0"/>
          <w:divBdr>
            <w:top w:val="none" w:sz="0" w:space="0" w:color="auto"/>
            <w:left w:val="none" w:sz="0" w:space="0" w:color="auto"/>
            <w:bottom w:val="none" w:sz="0" w:space="0" w:color="auto"/>
            <w:right w:val="none" w:sz="0" w:space="0" w:color="auto"/>
          </w:divBdr>
          <w:divsChild>
            <w:div w:id="412629752">
              <w:marLeft w:val="0"/>
              <w:marRight w:val="0"/>
              <w:marTop w:val="0"/>
              <w:marBottom w:val="0"/>
              <w:divBdr>
                <w:top w:val="none" w:sz="0" w:space="0" w:color="auto"/>
                <w:left w:val="none" w:sz="0" w:space="0" w:color="auto"/>
                <w:bottom w:val="none" w:sz="0" w:space="0" w:color="auto"/>
                <w:right w:val="none" w:sz="0" w:space="0" w:color="auto"/>
              </w:divBdr>
              <w:divsChild>
                <w:div w:id="1458332529">
                  <w:marLeft w:val="0"/>
                  <w:marRight w:val="0"/>
                  <w:marTop w:val="0"/>
                  <w:marBottom w:val="0"/>
                  <w:divBdr>
                    <w:top w:val="none" w:sz="0" w:space="0" w:color="auto"/>
                    <w:left w:val="none" w:sz="0" w:space="0" w:color="auto"/>
                    <w:bottom w:val="none" w:sz="0" w:space="0" w:color="auto"/>
                    <w:right w:val="none" w:sz="0" w:space="0" w:color="auto"/>
                  </w:divBdr>
                  <w:divsChild>
                    <w:div w:id="1145245626">
                      <w:marLeft w:val="0"/>
                      <w:marRight w:val="0"/>
                      <w:marTop w:val="0"/>
                      <w:marBottom w:val="0"/>
                      <w:divBdr>
                        <w:top w:val="none" w:sz="0" w:space="0" w:color="auto"/>
                        <w:left w:val="none" w:sz="0" w:space="0" w:color="auto"/>
                        <w:bottom w:val="none" w:sz="0" w:space="0" w:color="auto"/>
                        <w:right w:val="none" w:sz="0" w:space="0" w:color="auto"/>
                      </w:divBdr>
                      <w:divsChild>
                        <w:div w:id="7243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250363">
      <w:bodyDiv w:val="1"/>
      <w:marLeft w:val="0"/>
      <w:marRight w:val="0"/>
      <w:marTop w:val="0"/>
      <w:marBottom w:val="0"/>
      <w:divBdr>
        <w:top w:val="none" w:sz="0" w:space="0" w:color="auto"/>
        <w:left w:val="none" w:sz="0" w:space="0" w:color="auto"/>
        <w:bottom w:val="none" w:sz="0" w:space="0" w:color="auto"/>
        <w:right w:val="none" w:sz="0" w:space="0" w:color="auto"/>
      </w:divBdr>
      <w:divsChild>
        <w:div w:id="1018967893">
          <w:marLeft w:val="0"/>
          <w:marRight w:val="0"/>
          <w:marTop w:val="0"/>
          <w:marBottom w:val="0"/>
          <w:divBdr>
            <w:top w:val="none" w:sz="0" w:space="0" w:color="auto"/>
            <w:left w:val="none" w:sz="0" w:space="0" w:color="auto"/>
            <w:bottom w:val="none" w:sz="0" w:space="0" w:color="auto"/>
            <w:right w:val="none" w:sz="0" w:space="0" w:color="auto"/>
          </w:divBdr>
          <w:divsChild>
            <w:div w:id="272322914">
              <w:marLeft w:val="0"/>
              <w:marRight w:val="0"/>
              <w:marTop w:val="0"/>
              <w:marBottom w:val="0"/>
              <w:divBdr>
                <w:top w:val="none" w:sz="0" w:space="0" w:color="auto"/>
                <w:left w:val="none" w:sz="0" w:space="0" w:color="auto"/>
                <w:bottom w:val="none" w:sz="0" w:space="0" w:color="auto"/>
                <w:right w:val="none" w:sz="0" w:space="0" w:color="auto"/>
              </w:divBdr>
              <w:divsChild>
                <w:div w:id="2079357187">
                  <w:marLeft w:val="0"/>
                  <w:marRight w:val="0"/>
                  <w:marTop w:val="0"/>
                  <w:marBottom w:val="0"/>
                  <w:divBdr>
                    <w:top w:val="none" w:sz="0" w:space="0" w:color="auto"/>
                    <w:left w:val="none" w:sz="0" w:space="0" w:color="auto"/>
                    <w:bottom w:val="none" w:sz="0" w:space="0" w:color="auto"/>
                    <w:right w:val="none" w:sz="0" w:space="0" w:color="auto"/>
                  </w:divBdr>
                  <w:divsChild>
                    <w:div w:id="324668610">
                      <w:marLeft w:val="0"/>
                      <w:marRight w:val="0"/>
                      <w:marTop w:val="0"/>
                      <w:marBottom w:val="0"/>
                      <w:divBdr>
                        <w:top w:val="none" w:sz="0" w:space="0" w:color="auto"/>
                        <w:left w:val="none" w:sz="0" w:space="0" w:color="auto"/>
                        <w:bottom w:val="none" w:sz="0" w:space="0" w:color="auto"/>
                        <w:right w:val="none" w:sz="0" w:space="0" w:color="auto"/>
                      </w:divBdr>
                      <w:divsChild>
                        <w:div w:id="1490249489">
                          <w:marLeft w:val="0"/>
                          <w:marRight w:val="0"/>
                          <w:marTop w:val="0"/>
                          <w:marBottom w:val="0"/>
                          <w:divBdr>
                            <w:top w:val="none" w:sz="0" w:space="0" w:color="auto"/>
                            <w:left w:val="none" w:sz="0" w:space="0" w:color="auto"/>
                            <w:bottom w:val="none" w:sz="0" w:space="0" w:color="auto"/>
                            <w:right w:val="none" w:sz="0" w:space="0" w:color="auto"/>
                          </w:divBdr>
                          <w:divsChild>
                            <w:div w:id="108202073">
                              <w:marLeft w:val="0"/>
                              <w:marRight w:val="0"/>
                              <w:marTop w:val="0"/>
                              <w:marBottom w:val="0"/>
                              <w:divBdr>
                                <w:top w:val="none" w:sz="0" w:space="0" w:color="auto"/>
                                <w:left w:val="none" w:sz="0" w:space="0" w:color="auto"/>
                                <w:bottom w:val="none" w:sz="0" w:space="0" w:color="auto"/>
                                <w:right w:val="none" w:sz="0" w:space="0" w:color="auto"/>
                              </w:divBdr>
                              <w:divsChild>
                                <w:div w:id="1552687924">
                                  <w:marLeft w:val="0"/>
                                  <w:marRight w:val="0"/>
                                  <w:marTop w:val="0"/>
                                  <w:marBottom w:val="0"/>
                                  <w:divBdr>
                                    <w:top w:val="none" w:sz="0" w:space="0" w:color="auto"/>
                                    <w:left w:val="none" w:sz="0" w:space="0" w:color="auto"/>
                                    <w:bottom w:val="none" w:sz="0" w:space="0" w:color="auto"/>
                                    <w:right w:val="none" w:sz="0" w:space="0" w:color="auto"/>
                                  </w:divBdr>
                                  <w:divsChild>
                                    <w:div w:id="1884174993">
                                      <w:marLeft w:val="0"/>
                                      <w:marRight w:val="0"/>
                                      <w:marTop w:val="0"/>
                                      <w:marBottom w:val="0"/>
                                      <w:divBdr>
                                        <w:top w:val="none" w:sz="0" w:space="0" w:color="auto"/>
                                        <w:left w:val="none" w:sz="0" w:space="0" w:color="auto"/>
                                        <w:bottom w:val="none" w:sz="0" w:space="0" w:color="auto"/>
                                        <w:right w:val="none" w:sz="0" w:space="0" w:color="auto"/>
                                      </w:divBdr>
                                      <w:divsChild>
                                        <w:div w:id="1165703331">
                                          <w:marLeft w:val="0"/>
                                          <w:marRight w:val="0"/>
                                          <w:marTop w:val="0"/>
                                          <w:marBottom w:val="0"/>
                                          <w:divBdr>
                                            <w:top w:val="none" w:sz="0" w:space="0" w:color="auto"/>
                                            <w:left w:val="none" w:sz="0" w:space="0" w:color="auto"/>
                                            <w:bottom w:val="none" w:sz="0" w:space="0" w:color="auto"/>
                                            <w:right w:val="none" w:sz="0" w:space="0" w:color="auto"/>
                                          </w:divBdr>
                                          <w:divsChild>
                                            <w:div w:id="890577440">
                                              <w:marLeft w:val="0"/>
                                              <w:marRight w:val="0"/>
                                              <w:marTop w:val="0"/>
                                              <w:marBottom w:val="0"/>
                                              <w:divBdr>
                                                <w:top w:val="none" w:sz="0" w:space="0" w:color="auto"/>
                                                <w:left w:val="none" w:sz="0" w:space="0" w:color="auto"/>
                                                <w:bottom w:val="none" w:sz="0" w:space="0" w:color="auto"/>
                                                <w:right w:val="none" w:sz="0" w:space="0" w:color="auto"/>
                                              </w:divBdr>
                                              <w:divsChild>
                                                <w:div w:id="248347384">
                                                  <w:marLeft w:val="0"/>
                                                  <w:marRight w:val="0"/>
                                                  <w:marTop w:val="0"/>
                                                  <w:marBottom w:val="0"/>
                                                  <w:divBdr>
                                                    <w:top w:val="none" w:sz="0" w:space="0" w:color="auto"/>
                                                    <w:left w:val="none" w:sz="0" w:space="0" w:color="auto"/>
                                                    <w:bottom w:val="none" w:sz="0" w:space="0" w:color="auto"/>
                                                    <w:right w:val="none" w:sz="0" w:space="0" w:color="auto"/>
                                                  </w:divBdr>
                                                  <w:divsChild>
                                                    <w:div w:id="983586535">
                                                      <w:marLeft w:val="0"/>
                                                      <w:marRight w:val="0"/>
                                                      <w:marTop w:val="0"/>
                                                      <w:marBottom w:val="0"/>
                                                      <w:divBdr>
                                                        <w:top w:val="none" w:sz="0" w:space="0" w:color="auto"/>
                                                        <w:left w:val="none" w:sz="0" w:space="0" w:color="auto"/>
                                                        <w:bottom w:val="none" w:sz="0" w:space="0" w:color="auto"/>
                                                        <w:right w:val="none" w:sz="0" w:space="0" w:color="auto"/>
                                                      </w:divBdr>
                                                      <w:divsChild>
                                                        <w:div w:id="213760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5468366">
      <w:bodyDiv w:val="1"/>
      <w:marLeft w:val="0"/>
      <w:marRight w:val="0"/>
      <w:marTop w:val="0"/>
      <w:marBottom w:val="0"/>
      <w:divBdr>
        <w:top w:val="none" w:sz="0" w:space="0" w:color="auto"/>
        <w:left w:val="none" w:sz="0" w:space="0" w:color="auto"/>
        <w:bottom w:val="none" w:sz="0" w:space="0" w:color="auto"/>
        <w:right w:val="none" w:sz="0" w:space="0" w:color="auto"/>
      </w:divBdr>
    </w:div>
    <w:div w:id="1170145618">
      <w:bodyDiv w:val="1"/>
      <w:marLeft w:val="0"/>
      <w:marRight w:val="0"/>
      <w:marTop w:val="0"/>
      <w:marBottom w:val="0"/>
      <w:divBdr>
        <w:top w:val="none" w:sz="0" w:space="0" w:color="auto"/>
        <w:left w:val="none" w:sz="0" w:space="0" w:color="auto"/>
        <w:bottom w:val="none" w:sz="0" w:space="0" w:color="auto"/>
        <w:right w:val="none" w:sz="0" w:space="0" w:color="auto"/>
      </w:divBdr>
    </w:div>
    <w:div w:id="1286694938">
      <w:bodyDiv w:val="1"/>
      <w:marLeft w:val="0"/>
      <w:marRight w:val="0"/>
      <w:marTop w:val="0"/>
      <w:marBottom w:val="0"/>
      <w:divBdr>
        <w:top w:val="none" w:sz="0" w:space="0" w:color="auto"/>
        <w:left w:val="none" w:sz="0" w:space="0" w:color="auto"/>
        <w:bottom w:val="none" w:sz="0" w:space="0" w:color="auto"/>
        <w:right w:val="none" w:sz="0" w:space="0" w:color="auto"/>
      </w:divBdr>
      <w:divsChild>
        <w:div w:id="1080448622">
          <w:marLeft w:val="0"/>
          <w:marRight w:val="1"/>
          <w:marTop w:val="0"/>
          <w:marBottom w:val="0"/>
          <w:divBdr>
            <w:top w:val="none" w:sz="0" w:space="0" w:color="auto"/>
            <w:left w:val="none" w:sz="0" w:space="0" w:color="auto"/>
            <w:bottom w:val="none" w:sz="0" w:space="0" w:color="auto"/>
            <w:right w:val="none" w:sz="0" w:space="0" w:color="auto"/>
          </w:divBdr>
          <w:divsChild>
            <w:div w:id="1196770137">
              <w:marLeft w:val="0"/>
              <w:marRight w:val="0"/>
              <w:marTop w:val="0"/>
              <w:marBottom w:val="0"/>
              <w:divBdr>
                <w:top w:val="none" w:sz="0" w:space="0" w:color="auto"/>
                <w:left w:val="none" w:sz="0" w:space="0" w:color="auto"/>
                <w:bottom w:val="none" w:sz="0" w:space="0" w:color="auto"/>
                <w:right w:val="none" w:sz="0" w:space="0" w:color="auto"/>
              </w:divBdr>
              <w:divsChild>
                <w:div w:id="1344163727">
                  <w:marLeft w:val="0"/>
                  <w:marRight w:val="1"/>
                  <w:marTop w:val="0"/>
                  <w:marBottom w:val="0"/>
                  <w:divBdr>
                    <w:top w:val="none" w:sz="0" w:space="0" w:color="auto"/>
                    <w:left w:val="none" w:sz="0" w:space="0" w:color="auto"/>
                    <w:bottom w:val="none" w:sz="0" w:space="0" w:color="auto"/>
                    <w:right w:val="none" w:sz="0" w:space="0" w:color="auto"/>
                  </w:divBdr>
                  <w:divsChild>
                    <w:div w:id="810485042">
                      <w:marLeft w:val="0"/>
                      <w:marRight w:val="0"/>
                      <w:marTop w:val="0"/>
                      <w:marBottom w:val="0"/>
                      <w:divBdr>
                        <w:top w:val="none" w:sz="0" w:space="0" w:color="auto"/>
                        <w:left w:val="none" w:sz="0" w:space="0" w:color="auto"/>
                        <w:bottom w:val="none" w:sz="0" w:space="0" w:color="auto"/>
                        <w:right w:val="none" w:sz="0" w:space="0" w:color="auto"/>
                      </w:divBdr>
                      <w:divsChild>
                        <w:div w:id="1368679212">
                          <w:marLeft w:val="0"/>
                          <w:marRight w:val="0"/>
                          <w:marTop w:val="0"/>
                          <w:marBottom w:val="0"/>
                          <w:divBdr>
                            <w:top w:val="none" w:sz="0" w:space="0" w:color="auto"/>
                            <w:left w:val="none" w:sz="0" w:space="0" w:color="auto"/>
                            <w:bottom w:val="none" w:sz="0" w:space="0" w:color="auto"/>
                            <w:right w:val="none" w:sz="0" w:space="0" w:color="auto"/>
                          </w:divBdr>
                          <w:divsChild>
                            <w:div w:id="1536623775">
                              <w:marLeft w:val="0"/>
                              <w:marRight w:val="0"/>
                              <w:marTop w:val="120"/>
                              <w:marBottom w:val="360"/>
                              <w:divBdr>
                                <w:top w:val="none" w:sz="0" w:space="0" w:color="auto"/>
                                <w:left w:val="none" w:sz="0" w:space="0" w:color="auto"/>
                                <w:bottom w:val="none" w:sz="0" w:space="0" w:color="auto"/>
                                <w:right w:val="none" w:sz="0" w:space="0" w:color="auto"/>
                              </w:divBdr>
                              <w:divsChild>
                                <w:div w:id="543448623">
                                  <w:marLeft w:val="420"/>
                                  <w:marRight w:val="0"/>
                                  <w:marTop w:val="0"/>
                                  <w:marBottom w:val="0"/>
                                  <w:divBdr>
                                    <w:top w:val="none" w:sz="0" w:space="0" w:color="auto"/>
                                    <w:left w:val="none" w:sz="0" w:space="0" w:color="auto"/>
                                    <w:bottom w:val="none" w:sz="0" w:space="0" w:color="auto"/>
                                    <w:right w:val="none" w:sz="0" w:space="0" w:color="auto"/>
                                  </w:divBdr>
                                  <w:divsChild>
                                    <w:div w:id="1751191151">
                                      <w:marLeft w:val="0"/>
                                      <w:marRight w:val="0"/>
                                      <w:marTop w:val="34"/>
                                      <w:marBottom w:val="34"/>
                                      <w:divBdr>
                                        <w:top w:val="none" w:sz="0" w:space="0" w:color="auto"/>
                                        <w:left w:val="none" w:sz="0" w:space="0" w:color="auto"/>
                                        <w:bottom w:val="none" w:sz="0" w:space="0" w:color="auto"/>
                                        <w:right w:val="none" w:sz="0" w:space="0" w:color="auto"/>
                                      </w:divBdr>
                                    </w:div>
                                    <w:div w:id="2026053168">
                                      <w:marLeft w:val="0"/>
                                      <w:marRight w:val="0"/>
                                      <w:marTop w:val="0"/>
                                      <w:marBottom w:val="0"/>
                                      <w:divBdr>
                                        <w:top w:val="none" w:sz="0" w:space="0" w:color="auto"/>
                                        <w:left w:val="none" w:sz="0" w:space="0" w:color="auto"/>
                                        <w:bottom w:val="none" w:sz="0" w:space="0" w:color="auto"/>
                                        <w:right w:val="none" w:sz="0" w:space="0" w:color="auto"/>
                                      </w:divBdr>
                                      <w:divsChild>
                                        <w:div w:id="94268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8436974">
      <w:bodyDiv w:val="1"/>
      <w:marLeft w:val="0"/>
      <w:marRight w:val="0"/>
      <w:marTop w:val="0"/>
      <w:marBottom w:val="0"/>
      <w:divBdr>
        <w:top w:val="none" w:sz="0" w:space="0" w:color="auto"/>
        <w:left w:val="none" w:sz="0" w:space="0" w:color="auto"/>
        <w:bottom w:val="none" w:sz="0" w:space="0" w:color="auto"/>
        <w:right w:val="none" w:sz="0" w:space="0" w:color="auto"/>
      </w:divBdr>
      <w:divsChild>
        <w:div w:id="391777385">
          <w:marLeft w:val="0"/>
          <w:marRight w:val="0"/>
          <w:marTop w:val="0"/>
          <w:marBottom w:val="0"/>
          <w:divBdr>
            <w:top w:val="none" w:sz="0" w:space="0" w:color="auto"/>
            <w:left w:val="none" w:sz="0" w:space="0" w:color="auto"/>
            <w:bottom w:val="none" w:sz="0" w:space="0" w:color="auto"/>
            <w:right w:val="none" w:sz="0" w:space="0" w:color="auto"/>
          </w:divBdr>
          <w:divsChild>
            <w:div w:id="1025403505">
              <w:marLeft w:val="0"/>
              <w:marRight w:val="0"/>
              <w:marTop w:val="0"/>
              <w:marBottom w:val="150"/>
              <w:divBdr>
                <w:top w:val="none" w:sz="0" w:space="0" w:color="auto"/>
                <w:left w:val="none" w:sz="0" w:space="0" w:color="auto"/>
                <w:bottom w:val="none" w:sz="0" w:space="0" w:color="auto"/>
                <w:right w:val="none" w:sz="0" w:space="0" w:color="auto"/>
              </w:divBdr>
              <w:divsChild>
                <w:div w:id="90750022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729652">
      <w:bodyDiv w:val="1"/>
      <w:marLeft w:val="0"/>
      <w:marRight w:val="0"/>
      <w:marTop w:val="0"/>
      <w:marBottom w:val="0"/>
      <w:divBdr>
        <w:top w:val="none" w:sz="0" w:space="0" w:color="auto"/>
        <w:left w:val="none" w:sz="0" w:space="0" w:color="auto"/>
        <w:bottom w:val="none" w:sz="0" w:space="0" w:color="auto"/>
        <w:right w:val="none" w:sz="0" w:space="0" w:color="auto"/>
      </w:divBdr>
      <w:divsChild>
        <w:div w:id="1783258564">
          <w:marLeft w:val="0"/>
          <w:marRight w:val="1"/>
          <w:marTop w:val="0"/>
          <w:marBottom w:val="0"/>
          <w:divBdr>
            <w:top w:val="none" w:sz="0" w:space="0" w:color="auto"/>
            <w:left w:val="none" w:sz="0" w:space="0" w:color="auto"/>
            <w:bottom w:val="none" w:sz="0" w:space="0" w:color="auto"/>
            <w:right w:val="none" w:sz="0" w:space="0" w:color="auto"/>
          </w:divBdr>
          <w:divsChild>
            <w:div w:id="2067869882">
              <w:marLeft w:val="0"/>
              <w:marRight w:val="0"/>
              <w:marTop w:val="0"/>
              <w:marBottom w:val="0"/>
              <w:divBdr>
                <w:top w:val="none" w:sz="0" w:space="0" w:color="auto"/>
                <w:left w:val="none" w:sz="0" w:space="0" w:color="auto"/>
                <w:bottom w:val="none" w:sz="0" w:space="0" w:color="auto"/>
                <w:right w:val="none" w:sz="0" w:space="0" w:color="auto"/>
              </w:divBdr>
              <w:divsChild>
                <w:div w:id="405301755">
                  <w:marLeft w:val="0"/>
                  <w:marRight w:val="1"/>
                  <w:marTop w:val="0"/>
                  <w:marBottom w:val="0"/>
                  <w:divBdr>
                    <w:top w:val="none" w:sz="0" w:space="0" w:color="auto"/>
                    <w:left w:val="none" w:sz="0" w:space="0" w:color="auto"/>
                    <w:bottom w:val="none" w:sz="0" w:space="0" w:color="auto"/>
                    <w:right w:val="none" w:sz="0" w:space="0" w:color="auto"/>
                  </w:divBdr>
                  <w:divsChild>
                    <w:div w:id="2054691622">
                      <w:marLeft w:val="0"/>
                      <w:marRight w:val="0"/>
                      <w:marTop w:val="0"/>
                      <w:marBottom w:val="0"/>
                      <w:divBdr>
                        <w:top w:val="none" w:sz="0" w:space="0" w:color="auto"/>
                        <w:left w:val="none" w:sz="0" w:space="0" w:color="auto"/>
                        <w:bottom w:val="none" w:sz="0" w:space="0" w:color="auto"/>
                        <w:right w:val="none" w:sz="0" w:space="0" w:color="auto"/>
                      </w:divBdr>
                      <w:divsChild>
                        <w:div w:id="1462578559">
                          <w:marLeft w:val="0"/>
                          <w:marRight w:val="0"/>
                          <w:marTop w:val="0"/>
                          <w:marBottom w:val="0"/>
                          <w:divBdr>
                            <w:top w:val="none" w:sz="0" w:space="0" w:color="auto"/>
                            <w:left w:val="none" w:sz="0" w:space="0" w:color="auto"/>
                            <w:bottom w:val="none" w:sz="0" w:space="0" w:color="auto"/>
                            <w:right w:val="none" w:sz="0" w:space="0" w:color="auto"/>
                          </w:divBdr>
                          <w:divsChild>
                            <w:div w:id="1986817634">
                              <w:marLeft w:val="0"/>
                              <w:marRight w:val="0"/>
                              <w:marTop w:val="120"/>
                              <w:marBottom w:val="360"/>
                              <w:divBdr>
                                <w:top w:val="none" w:sz="0" w:space="0" w:color="auto"/>
                                <w:left w:val="none" w:sz="0" w:space="0" w:color="auto"/>
                                <w:bottom w:val="none" w:sz="0" w:space="0" w:color="auto"/>
                                <w:right w:val="none" w:sz="0" w:space="0" w:color="auto"/>
                              </w:divBdr>
                              <w:divsChild>
                                <w:div w:id="861820500">
                                  <w:marLeft w:val="420"/>
                                  <w:marRight w:val="0"/>
                                  <w:marTop w:val="0"/>
                                  <w:marBottom w:val="0"/>
                                  <w:divBdr>
                                    <w:top w:val="none" w:sz="0" w:space="0" w:color="auto"/>
                                    <w:left w:val="none" w:sz="0" w:space="0" w:color="auto"/>
                                    <w:bottom w:val="none" w:sz="0" w:space="0" w:color="auto"/>
                                    <w:right w:val="none" w:sz="0" w:space="0" w:color="auto"/>
                                  </w:divBdr>
                                  <w:divsChild>
                                    <w:div w:id="121407537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554251">
      <w:bodyDiv w:val="1"/>
      <w:marLeft w:val="0"/>
      <w:marRight w:val="0"/>
      <w:marTop w:val="0"/>
      <w:marBottom w:val="0"/>
      <w:divBdr>
        <w:top w:val="none" w:sz="0" w:space="0" w:color="auto"/>
        <w:left w:val="none" w:sz="0" w:space="0" w:color="auto"/>
        <w:bottom w:val="none" w:sz="0" w:space="0" w:color="auto"/>
        <w:right w:val="none" w:sz="0" w:space="0" w:color="auto"/>
      </w:divBdr>
      <w:divsChild>
        <w:div w:id="387188525">
          <w:marLeft w:val="0"/>
          <w:marRight w:val="0"/>
          <w:marTop w:val="0"/>
          <w:marBottom w:val="0"/>
          <w:divBdr>
            <w:top w:val="none" w:sz="0" w:space="0" w:color="auto"/>
            <w:left w:val="none" w:sz="0" w:space="0" w:color="auto"/>
            <w:bottom w:val="none" w:sz="0" w:space="0" w:color="auto"/>
            <w:right w:val="none" w:sz="0" w:space="0" w:color="auto"/>
          </w:divBdr>
          <w:divsChild>
            <w:div w:id="642201664">
              <w:marLeft w:val="0"/>
              <w:marRight w:val="0"/>
              <w:marTop w:val="75"/>
              <w:marBottom w:val="0"/>
              <w:divBdr>
                <w:top w:val="none" w:sz="0" w:space="0" w:color="auto"/>
                <w:left w:val="none" w:sz="0" w:space="0" w:color="auto"/>
                <w:bottom w:val="none" w:sz="0" w:space="0" w:color="auto"/>
                <w:right w:val="none" w:sz="0" w:space="0" w:color="auto"/>
              </w:divBdr>
              <w:divsChild>
                <w:div w:id="2030136451">
                  <w:marLeft w:val="0"/>
                  <w:marRight w:val="0"/>
                  <w:marTop w:val="48"/>
                  <w:marBottom w:val="48"/>
                  <w:divBdr>
                    <w:top w:val="none" w:sz="0" w:space="0" w:color="auto"/>
                    <w:left w:val="none" w:sz="0" w:space="0" w:color="auto"/>
                    <w:bottom w:val="none" w:sz="0" w:space="0" w:color="auto"/>
                    <w:right w:val="none" w:sz="0" w:space="0" w:color="auto"/>
                  </w:divBdr>
                </w:div>
                <w:div w:id="2622086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 w:id="1597253996">
      <w:bodyDiv w:val="1"/>
      <w:marLeft w:val="0"/>
      <w:marRight w:val="0"/>
      <w:marTop w:val="0"/>
      <w:marBottom w:val="0"/>
      <w:divBdr>
        <w:top w:val="none" w:sz="0" w:space="0" w:color="auto"/>
        <w:left w:val="none" w:sz="0" w:space="0" w:color="auto"/>
        <w:bottom w:val="none" w:sz="0" w:space="0" w:color="auto"/>
        <w:right w:val="none" w:sz="0" w:space="0" w:color="auto"/>
      </w:divBdr>
      <w:divsChild>
        <w:div w:id="99840627">
          <w:marLeft w:val="0"/>
          <w:marRight w:val="1"/>
          <w:marTop w:val="0"/>
          <w:marBottom w:val="0"/>
          <w:divBdr>
            <w:top w:val="none" w:sz="0" w:space="0" w:color="auto"/>
            <w:left w:val="none" w:sz="0" w:space="0" w:color="auto"/>
            <w:bottom w:val="none" w:sz="0" w:space="0" w:color="auto"/>
            <w:right w:val="none" w:sz="0" w:space="0" w:color="auto"/>
          </w:divBdr>
          <w:divsChild>
            <w:div w:id="591401191">
              <w:marLeft w:val="0"/>
              <w:marRight w:val="0"/>
              <w:marTop w:val="0"/>
              <w:marBottom w:val="0"/>
              <w:divBdr>
                <w:top w:val="none" w:sz="0" w:space="0" w:color="auto"/>
                <w:left w:val="none" w:sz="0" w:space="0" w:color="auto"/>
                <w:bottom w:val="none" w:sz="0" w:space="0" w:color="auto"/>
                <w:right w:val="none" w:sz="0" w:space="0" w:color="auto"/>
              </w:divBdr>
              <w:divsChild>
                <w:div w:id="668486168">
                  <w:marLeft w:val="0"/>
                  <w:marRight w:val="1"/>
                  <w:marTop w:val="0"/>
                  <w:marBottom w:val="0"/>
                  <w:divBdr>
                    <w:top w:val="none" w:sz="0" w:space="0" w:color="auto"/>
                    <w:left w:val="none" w:sz="0" w:space="0" w:color="auto"/>
                    <w:bottom w:val="none" w:sz="0" w:space="0" w:color="auto"/>
                    <w:right w:val="none" w:sz="0" w:space="0" w:color="auto"/>
                  </w:divBdr>
                  <w:divsChild>
                    <w:div w:id="1676223438">
                      <w:marLeft w:val="0"/>
                      <w:marRight w:val="0"/>
                      <w:marTop w:val="0"/>
                      <w:marBottom w:val="0"/>
                      <w:divBdr>
                        <w:top w:val="none" w:sz="0" w:space="0" w:color="auto"/>
                        <w:left w:val="none" w:sz="0" w:space="0" w:color="auto"/>
                        <w:bottom w:val="none" w:sz="0" w:space="0" w:color="auto"/>
                        <w:right w:val="none" w:sz="0" w:space="0" w:color="auto"/>
                      </w:divBdr>
                      <w:divsChild>
                        <w:div w:id="929897573">
                          <w:marLeft w:val="0"/>
                          <w:marRight w:val="0"/>
                          <w:marTop w:val="0"/>
                          <w:marBottom w:val="0"/>
                          <w:divBdr>
                            <w:top w:val="none" w:sz="0" w:space="0" w:color="auto"/>
                            <w:left w:val="none" w:sz="0" w:space="0" w:color="auto"/>
                            <w:bottom w:val="none" w:sz="0" w:space="0" w:color="auto"/>
                            <w:right w:val="none" w:sz="0" w:space="0" w:color="auto"/>
                          </w:divBdr>
                          <w:divsChild>
                            <w:div w:id="435028513">
                              <w:marLeft w:val="0"/>
                              <w:marRight w:val="0"/>
                              <w:marTop w:val="120"/>
                              <w:marBottom w:val="360"/>
                              <w:divBdr>
                                <w:top w:val="none" w:sz="0" w:space="0" w:color="auto"/>
                                <w:left w:val="none" w:sz="0" w:space="0" w:color="auto"/>
                                <w:bottom w:val="none" w:sz="0" w:space="0" w:color="auto"/>
                                <w:right w:val="none" w:sz="0" w:space="0" w:color="auto"/>
                              </w:divBdr>
                              <w:divsChild>
                                <w:div w:id="499546258">
                                  <w:marLeft w:val="420"/>
                                  <w:marRight w:val="0"/>
                                  <w:marTop w:val="0"/>
                                  <w:marBottom w:val="0"/>
                                  <w:divBdr>
                                    <w:top w:val="none" w:sz="0" w:space="0" w:color="auto"/>
                                    <w:left w:val="none" w:sz="0" w:space="0" w:color="auto"/>
                                    <w:bottom w:val="none" w:sz="0" w:space="0" w:color="auto"/>
                                    <w:right w:val="none" w:sz="0" w:space="0" w:color="auto"/>
                                  </w:divBdr>
                                  <w:divsChild>
                                    <w:div w:id="1961572448">
                                      <w:marLeft w:val="0"/>
                                      <w:marRight w:val="0"/>
                                      <w:marTop w:val="34"/>
                                      <w:marBottom w:val="34"/>
                                      <w:divBdr>
                                        <w:top w:val="none" w:sz="0" w:space="0" w:color="auto"/>
                                        <w:left w:val="none" w:sz="0" w:space="0" w:color="auto"/>
                                        <w:bottom w:val="none" w:sz="0" w:space="0" w:color="auto"/>
                                        <w:right w:val="none" w:sz="0" w:space="0" w:color="auto"/>
                                      </w:divBdr>
                                    </w:div>
                                    <w:div w:id="1435007873">
                                      <w:marLeft w:val="0"/>
                                      <w:marRight w:val="0"/>
                                      <w:marTop w:val="0"/>
                                      <w:marBottom w:val="0"/>
                                      <w:divBdr>
                                        <w:top w:val="none" w:sz="0" w:space="0" w:color="auto"/>
                                        <w:left w:val="none" w:sz="0" w:space="0" w:color="auto"/>
                                        <w:bottom w:val="none" w:sz="0" w:space="0" w:color="auto"/>
                                        <w:right w:val="none" w:sz="0" w:space="0" w:color="auto"/>
                                      </w:divBdr>
                                      <w:divsChild>
                                        <w:div w:id="11305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137952">
      <w:bodyDiv w:val="1"/>
      <w:marLeft w:val="0"/>
      <w:marRight w:val="0"/>
      <w:marTop w:val="0"/>
      <w:marBottom w:val="0"/>
      <w:divBdr>
        <w:top w:val="none" w:sz="0" w:space="0" w:color="auto"/>
        <w:left w:val="none" w:sz="0" w:space="0" w:color="auto"/>
        <w:bottom w:val="none" w:sz="0" w:space="0" w:color="auto"/>
        <w:right w:val="none" w:sz="0" w:space="0" w:color="auto"/>
      </w:divBdr>
    </w:div>
    <w:div w:id="2054622487">
      <w:bodyDiv w:val="1"/>
      <w:marLeft w:val="0"/>
      <w:marRight w:val="0"/>
      <w:marTop w:val="0"/>
      <w:marBottom w:val="0"/>
      <w:divBdr>
        <w:top w:val="none" w:sz="0" w:space="0" w:color="auto"/>
        <w:left w:val="none" w:sz="0" w:space="0" w:color="auto"/>
        <w:bottom w:val="none" w:sz="0" w:space="0" w:color="auto"/>
        <w:right w:val="none" w:sz="0" w:space="0" w:color="auto"/>
      </w:divBdr>
      <w:divsChild>
        <w:div w:id="1802382796">
          <w:marLeft w:val="0"/>
          <w:marRight w:val="0"/>
          <w:marTop w:val="0"/>
          <w:marBottom w:val="0"/>
          <w:divBdr>
            <w:top w:val="none" w:sz="0" w:space="0" w:color="auto"/>
            <w:left w:val="none" w:sz="0" w:space="0" w:color="auto"/>
            <w:bottom w:val="none" w:sz="0" w:space="0" w:color="auto"/>
            <w:right w:val="none" w:sz="0" w:space="0" w:color="auto"/>
          </w:divBdr>
          <w:divsChild>
            <w:div w:id="765807884">
              <w:marLeft w:val="0"/>
              <w:marRight w:val="0"/>
              <w:marTop w:val="0"/>
              <w:marBottom w:val="0"/>
              <w:divBdr>
                <w:top w:val="none" w:sz="0" w:space="0" w:color="auto"/>
                <w:left w:val="none" w:sz="0" w:space="0" w:color="auto"/>
                <w:bottom w:val="none" w:sz="0" w:space="0" w:color="auto"/>
                <w:right w:val="none" w:sz="0" w:space="0" w:color="auto"/>
              </w:divBdr>
              <w:divsChild>
                <w:div w:id="1593277520">
                  <w:marLeft w:val="0"/>
                  <w:marRight w:val="0"/>
                  <w:marTop w:val="0"/>
                  <w:marBottom w:val="0"/>
                  <w:divBdr>
                    <w:top w:val="none" w:sz="0" w:space="0" w:color="auto"/>
                    <w:left w:val="none" w:sz="0" w:space="0" w:color="auto"/>
                    <w:bottom w:val="none" w:sz="0" w:space="0" w:color="auto"/>
                    <w:right w:val="none" w:sz="0" w:space="0" w:color="auto"/>
                  </w:divBdr>
                  <w:divsChild>
                    <w:div w:id="1659192070">
                      <w:marLeft w:val="0"/>
                      <w:marRight w:val="0"/>
                      <w:marTop w:val="0"/>
                      <w:marBottom w:val="0"/>
                      <w:divBdr>
                        <w:top w:val="none" w:sz="0" w:space="0" w:color="auto"/>
                        <w:left w:val="none" w:sz="0" w:space="0" w:color="auto"/>
                        <w:bottom w:val="none" w:sz="0" w:space="0" w:color="auto"/>
                        <w:right w:val="none" w:sz="0" w:space="0" w:color="auto"/>
                      </w:divBdr>
                      <w:divsChild>
                        <w:div w:id="1911115197">
                          <w:marLeft w:val="0"/>
                          <w:marRight w:val="0"/>
                          <w:marTop w:val="0"/>
                          <w:marBottom w:val="0"/>
                          <w:divBdr>
                            <w:top w:val="none" w:sz="0" w:space="0" w:color="auto"/>
                            <w:left w:val="none" w:sz="0" w:space="0" w:color="auto"/>
                            <w:bottom w:val="none" w:sz="0" w:space="0" w:color="auto"/>
                            <w:right w:val="none" w:sz="0" w:space="0" w:color="auto"/>
                          </w:divBdr>
                          <w:divsChild>
                            <w:div w:id="858313">
                              <w:marLeft w:val="0"/>
                              <w:marRight w:val="0"/>
                              <w:marTop w:val="0"/>
                              <w:marBottom w:val="0"/>
                              <w:divBdr>
                                <w:top w:val="none" w:sz="0" w:space="0" w:color="auto"/>
                                <w:left w:val="none" w:sz="0" w:space="0" w:color="auto"/>
                                <w:bottom w:val="none" w:sz="0" w:space="0" w:color="auto"/>
                                <w:right w:val="none" w:sz="0" w:space="0" w:color="auto"/>
                              </w:divBdr>
                              <w:divsChild>
                                <w:div w:id="207451628">
                                  <w:marLeft w:val="0"/>
                                  <w:marRight w:val="0"/>
                                  <w:marTop w:val="0"/>
                                  <w:marBottom w:val="0"/>
                                  <w:divBdr>
                                    <w:top w:val="none" w:sz="0" w:space="0" w:color="auto"/>
                                    <w:left w:val="none" w:sz="0" w:space="0" w:color="auto"/>
                                    <w:bottom w:val="none" w:sz="0" w:space="0" w:color="auto"/>
                                    <w:right w:val="none" w:sz="0" w:space="0" w:color="auto"/>
                                  </w:divBdr>
                                  <w:divsChild>
                                    <w:div w:id="910432762">
                                      <w:marLeft w:val="0"/>
                                      <w:marRight w:val="0"/>
                                      <w:marTop w:val="0"/>
                                      <w:marBottom w:val="0"/>
                                      <w:divBdr>
                                        <w:top w:val="none" w:sz="0" w:space="0" w:color="auto"/>
                                        <w:left w:val="none" w:sz="0" w:space="0" w:color="auto"/>
                                        <w:bottom w:val="none" w:sz="0" w:space="0" w:color="auto"/>
                                        <w:right w:val="none" w:sz="0" w:space="0" w:color="auto"/>
                                      </w:divBdr>
                                      <w:divsChild>
                                        <w:div w:id="1340235420">
                                          <w:marLeft w:val="0"/>
                                          <w:marRight w:val="0"/>
                                          <w:marTop w:val="0"/>
                                          <w:marBottom w:val="0"/>
                                          <w:divBdr>
                                            <w:top w:val="none" w:sz="0" w:space="0" w:color="auto"/>
                                            <w:left w:val="none" w:sz="0" w:space="0" w:color="auto"/>
                                            <w:bottom w:val="none" w:sz="0" w:space="0" w:color="auto"/>
                                            <w:right w:val="none" w:sz="0" w:space="0" w:color="auto"/>
                                          </w:divBdr>
                                          <w:divsChild>
                                            <w:div w:id="776563374">
                                              <w:marLeft w:val="0"/>
                                              <w:marRight w:val="0"/>
                                              <w:marTop w:val="0"/>
                                              <w:marBottom w:val="0"/>
                                              <w:divBdr>
                                                <w:top w:val="none" w:sz="0" w:space="0" w:color="auto"/>
                                                <w:left w:val="none" w:sz="0" w:space="0" w:color="auto"/>
                                                <w:bottom w:val="none" w:sz="0" w:space="0" w:color="auto"/>
                                                <w:right w:val="none" w:sz="0" w:space="0" w:color="auto"/>
                                              </w:divBdr>
                                              <w:divsChild>
                                                <w:div w:id="692266722">
                                                  <w:marLeft w:val="0"/>
                                                  <w:marRight w:val="0"/>
                                                  <w:marTop w:val="0"/>
                                                  <w:marBottom w:val="0"/>
                                                  <w:divBdr>
                                                    <w:top w:val="none" w:sz="0" w:space="0" w:color="auto"/>
                                                    <w:left w:val="none" w:sz="0" w:space="0" w:color="auto"/>
                                                    <w:bottom w:val="none" w:sz="0" w:space="0" w:color="auto"/>
                                                    <w:right w:val="none" w:sz="0" w:space="0" w:color="auto"/>
                                                  </w:divBdr>
                                                  <w:divsChild>
                                                    <w:div w:id="1728411274">
                                                      <w:marLeft w:val="0"/>
                                                      <w:marRight w:val="0"/>
                                                      <w:marTop w:val="0"/>
                                                      <w:marBottom w:val="0"/>
                                                      <w:divBdr>
                                                        <w:top w:val="none" w:sz="0" w:space="0" w:color="auto"/>
                                                        <w:left w:val="none" w:sz="0" w:space="0" w:color="auto"/>
                                                        <w:bottom w:val="none" w:sz="0" w:space="0" w:color="auto"/>
                                                        <w:right w:val="none" w:sz="0" w:space="0" w:color="auto"/>
                                                      </w:divBdr>
                                                      <w:divsChild>
                                                        <w:div w:id="172093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9745954">
      <w:bodyDiv w:val="1"/>
      <w:marLeft w:val="0"/>
      <w:marRight w:val="0"/>
      <w:marTop w:val="0"/>
      <w:marBottom w:val="0"/>
      <w:divBdr>
        <w:top w:val="none" w:sz="0" w:space="0" w:color="auto"/>
        <w:left w:val="none" w:sz="0" w:space="0" w:color="auto"/>
        <w:bottom w:val="none" w:sz="0" w:space="0" w:color="auto"/>
        <w:right w:val="none" w:sz="0" w:space="0" w:color="auto"/>
      </w:divBdr>
      <w:divsChild>
        <w:div w:id="1290743257">
          <w:marLeft w:val="0"/>
          <w:marRight w:val="0"/>
          <w:marTop w:val="0"/>
          <w:marBottom w:val="0"/>
          <w:divBdr>
            <w:top w:val="none" w:sz="0" w:space="0" w:color="auto"/>
            <w:left w:val="none" w:sz="0" w:space="0" w:color="auto"/>
            <w:bottom w:val="none" w:sz="0" w:space="0" w:color="auto"/>
            <w:right w:val="none" w:sz="0" w:space="0" w:color="auto"/>
          </w:divBdr>
          <w:divsChild>
            <w:div w:id="1736002113">
              <w:marLeft w:val="0"/>
              <w:marRight w:val="0"/>
              <w:marTop w:val="0"/>
              <w:marBottom w:val="0"/>
              <w:divBdr>
                <w:top w:val="none" w:sz="0" w:space="0" w:color="auto"/>
                <w:left w:val="none" w:sz="0" w:space="0" w:color="auto"/>
                <w:bottom w:val="none" w:sz="0" w:space="0" w:color="auto"/>
                <w:right w:val="none" w:sz="0" w:space="0" w:color="auto"/>
              </w:divBdr>
              <w:divsChild>
                <w:div w:id="1971355172">
                  <w:marLeft w:val="0"/>
                  <w:marRight w:val="0"/>
                  <w:marTop w:val="0"/>
                  <w:marBottom w:val="0"/>
                  <w:divBdr>
                    <w:top w:val="none" w:sz="0" w:space="0" w:color="auto"/>
                    <w:left w:val="none" w:sz="0" w:space="0" w:color="auto"/>
                    <w:bottom w:val="none" w:sz="0" w:space="0" w:color="auto"/>
                    <w:right w:val="none" w:sz="0" w:space="0" w:color="auto"/>
                  </w:divBdr>
                  <w:divsChild>
                    <w:div w:id="576280909">
                      <w:marLeft w:val="0"/>
                      <w:marRight w:val="0"/>
                      <w:marTop w:val="0"/>
                      <w:marBottom w:val="0"/>
                      <w:divBdr>
                        <w:top w:val="none" w:sz="0" w:space="0" w:color="auto"/>
                        <w:left w:val="none" w:sz="0" w:space="0" w:color="auto"/>
                        <w:bottom w:val="none" w:sz="0" w:space="0" w:color="auto"/>
                        <w:right w:val="none" w:sz="0" w:space="0" w:color="auto"/>
                      </w:divBdr>
                      <w:divsChild>
                        <w:div w:id="100997473">
                          <w:marLeft w:val="0"/>
                          <w:marRight w:val="0"/>
                          <w:marTop w:val="0"/>
                          <w:marBottom w:val="0"/>
                          <w:divBdr>
                            <w:top w:val="none" w:sz="0" w:space="0" w:color="auto"/>
                            <w:left w:val="none" w:sz="0" w:space="0" w:color="auto"/>
                            <w:bottom w:val="none" w:sz="0" w:space="0" w:color="auto"/>
                            <w:right w:val="none" w:sz="0" w:space="0" w:color="auto"/>
                          </w:divBdr>
                          <w:divsChild>
                            <w:div w:id="995717688">
                              <w:marLeft w:val="0"/>
                              <w:marRight w:val="0"/>
                              <w:marTop w:val="0"/>
                              <w:marBottom w:val="0"/>
                              <w:divBdr>
                                <w:top w:val="none" w:sz="0" w:space="0" w:color="auto"/>
                                <w:left w:val="none" w:sz="0" w:space="0" w:color="auto"/>
                                <w:bottom w:val="none" w:sz="0" w:space="0" w:color="auto"/>
                                <w:right w:val="none" w:sz="0" w:space="0" w:color="auto"/>
                              </w:divBdr>
                              <w:divsChild>
                                <w:div w:id="1394425285">
                                  <w:marLeft w:val="0"/>
                                  <w:marRight w:val="0"/>
                                  <w:marTop w:val="0"/>
                                  <w:marBottom w:val="0"/>
                                  <w:divBdr>
                                    <w:top w:val="none" w:sz="0" w:space="0" w:color="auto"/>
                                    <w:left w:val="none" w:sz="0" w:space="0" w:color="auto"/>
                                    <w:bottom w:val="none" w:sz="0" w:space="0" w:color="auto"/>
                                    <w:right w:val="none" w:sz="0" w:space="0" w:color="auto"/>
                                  </w:divBdr>
                                  <w:divsChild>
                                    <w:div w:id="727611756">
                                      <w:marLeft w:val="0"/>
                                      <w:marRight w:val="0"/>
                                      <w:marTop w:val="0"/>
                                      <w:marBottom w:val="0"/>
                                      <w:divBdr>
                                        <w:top w:val="none" w:sz="0" w:space="0" w:color="auto"/>
                                        <w:left w:val="none" w:sz="0" w:space="0" w:color="auto"/>
                                        <w:bottom w:val="none" w:sz="0" w:space="0" w:color="auto"/>
                                        <w:right w:val="none" w:sz="0" w:space="0" w:color="auto"/>
                                      </w:divBdr>
                                      <w:divsChild>
                                        <w:div w:id="1983342247">
                                          <w:marLeft w:val="0"/>
                                          <w:marRight w:val="0"/>
                                          <w:marTop w:val="0"/>
                                          <w:marBottom w:val="0"/>
                                          <w:divBdr>
                                            <w:top w:val="none" w:sz="0" w:space="0" w:color="auto"/>
                                            <w:left w:val="none" w:sz="0" w:space="0" w:color="auto"/>
                                            <w:bottom w:val="none" w:sz="0" w:space="0" w:color="auto"/>
                                            <w:right w:val="none" w:sz="0" w:space="0" w:color="auto"/>
                                          </w:divBdr>
                                          <w:divsChild>
                                            <w:div w:id="585186792">
                                              <w:marLeft w:val="0"/>
                                              <w:marRight w:val="0"/>
                                              <w:marTop w:val="0"/>
                                              <w:marBottom w:val="0"/>
                                              <w:divBdr>
                                                <w:top w:val="none" w:sz="0" w:space="0" w:color="auto"/>
                                                <w:left w:val="none" w:sz="0" w:space="0" w:color="auto"/>
                                                <w:bottom w:val="none" w:sz="0" w:space="0" w:color="auto"/>
                                                <w:right w:val="none" w:sz="0" w:space="0" w:color="auto"/>
                                              </w:divBdr>
                                              <w:divsChild>
                                                <w:div w:id="1111247838">
                                                  <w:marLeft w:val="0"/>
                                                  <w:marRight w:val="0"/>
                                                  <w:marTop w:val="0"/>
                                                  <w:marBottom w:val="0"/>
                                                  <w:divBdr>
                                                    <w:top w:val="none" w:sz="0" w:space="0" w:color="auto"/>
                                                    <w:left w:val="none" w:sz="0" w:space="0" w:color="auto"/>
                                                    <w:bottom w:val="none" w:sz="0" w:space="0" w:color="auto"/>
                                                    <w:right w:val="none" w:sz="0" w:space="0" w:color="auto"/>
                                                  </w:divBdr>
                                                  <w:divsChild>
                                                    <w:div w:id="340662249">
                                                      <w:marLeft w:val="0"/>
                                                      <w:marRight w:val="0"/>
                                                      <w:marTop w:val="0"/>
                                                      <w:marBottom w:val="0"/>
                                                      <w:divBdr>
                                                        <w:top w:val="none" w:sz="0" w:space="0" w:color="auto"/>
                                                        <w:left w:val="none" w:sz="0" w:space="0" w:color="auto"/>
                                                        <w:bottom w:val="none" w:sz="0" w:space="0" w:color="auto"/>
                                                        <w:right w:val="none" w:sz="0" w:space="0" w:color="auto"/>
                                                      </w:divBdr>
                                                      <w:divsChild>
                                                        <w:div w:id="139396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9986973">
      <w:bodyDiv w:val="1"/>
      <w:marLeft w:val="0"/>
      <w:marRight w:val="0"/>
      <w:marTop w:val="0"/>
      <w:marBottom w:val="0"/>
      <w:divBdr>
        <w:top w:val="none" w:sz="0" w:space="0" w:color="auto"/>
        <w:left w:val="none" w:sz="0" w:space="0" w:color="auto"/>
        <w:bottom w:val="none" w:sz="0" w:space="0" w:color="auto"/>
        <w:right w:val="none" w:sz="0" w:space="0" w:color="auto"/>
      </w:divBdr>
      <w:divsChild>
        <w:div w:id="1608005539">
          <w:marLeft w:val="0"/>
          <w:marRight w:val="0"/>
          <w:marTop w:val="0"/>
          <w:marBottom w:val="0"/>
          <w:divBdr>
            <w:top w:val="none" w:sz="0" w:space="0" w:color="auto"/>
            <w:left w:val="none" w:sz="0" w:space="0" w:color="auto"/>
            <w:bottom w:val="none" w:sz="0" w:space="0" w:color="auto"/>
            <w:right w:val="none" w:sz="0" w:space="0" w:color="auto"/>
          </w:divBdr>
          <w:divsChild>
            <w:div w:id="133958713">
              <w:marLeft w:val="0"/>
              <w:marRight w:val="0"/>
              <w:marTop w:val="0"/>
              <w:marBottom w:val="0"/>
              <w:divBdr>
                <w:top w:val="none" w:sz="0" w:space="0" w:color="auto"/>
                <w:left w:val="none" w:sz="0" w:space="0" w:color="auto"/>
                <w:bottom w:val="none" w:sz="0" w:space="0" w:color="auto"/>
                <w:right w:val="none" w:sz="0" w:space="0" w:color="auto"/>
              </w:divBdr>
              <w:divsChild>
                <w:div w:id="1935283485">
                  <w:marLeft w:val="0"/>
                  <w:marRight w:val="0"/>
                  <w:marTop w:val="0"/>
                  <w:marBottom w:val="0"/>
                  <w:divBdr>
                    <w:top w:val="none" w:sz="0" w:space="0" w:color="auto"/>
                    <w:left w:val="none" w:sz="0" w:space="0" w:color="auto"/>
                    <w:bottom w:val="none" w:sz="0" w:space="0" w:color="auto"/>
                    <w:right w:val="none" w:sz="0" w:space="0" w:color="auto"/>
                  </w:divBdr>
                  <w:divsChild>
                    <w:div w:id="486089263">
                      <w:marLeft w:val="0"/>
                      <w:marRight w:val="0"/>
                      <w:marTop w:val="0"/>
                      <w:marBottom w:val="0"/>
                      <w:divBdr>
                        <w:top w:val="none" w:sz="0" w:space="0" w:color="auto"/>
                        <w:left w:val="none" w:sz="0" w:space="0" w:color="auto"/>
                        <w:bottom w:val="none" w:sz="0" w:space="0" w:color="auto"/>
                        <w:right w:val="none" w:sz="0" w:space="0" w:color="auto"/>
                      </w:divBdr>
                      <w:divsChild>
                        <w:div w:id="338315313">
                          <w:marLeft w:val="0"/>
                          <w:marRight w:val="0"/>
                          <w:marTop w:val="0"/>
                          <w:marBottom w:val="0"/>
                          <w:divBdr>
                            <w:top w:val="none" w:sz="0" w:space="0" w:color="auto"/>
                            <w:left w:val="none" w:sz="0" w:space="0" w:color="auto"/>
                            <w:bottom w:val="none" w:sz="0" w:space="0" w:color="auto"/>
                            <w:right w:val="none" w:sz="0" w:space="0" w:color="auto"/>
                          </w:divBdr>
                          <w:divsChild>
                            <w:div w:id="1897541556">
                              <w:marLeft w:val="0"/>
                              <w:marRight w:val="0"/>
                              <w:marTop w:val="0"/>
                              <w:marBottom w:val="0"/>
                              <w:divBdr>
                                <w:top w:val="none" w:sz="0" w:space="0" w:color="auto"/>
                                <w:left w:val="none" w:sz="0" w:space="0" w:color="auto"/>
                                <w:bottom w:val="none" w:sz="0" w:space="0" w:color="auto"/>
                                <w:right w:val="none" w:sz="0" w:space="0" w:color="auto"/>
                              </w:divBdr>
                              <w:divsChild>
                                <w:div w:id="526254600">
                                  <w:marLeft w:val="0"/>
                                  <w:marRight w:val="0"/>
                                  <w:marTop w:val="0"/>
                                  <w:marBottom w:val="0"/>
                                  <w:divBdr>
                                    <w:top w:val="none" w:sz="0" w:space="0" w:color="auto"/>
                                    <w:left w:val="none" w:sz="0" w:space="0" w:color="auto"/>
                                    <w:bottom w:val="none" w:sz="0" w:space="0" w:color="auto"/>
                                    <w:right w:val="none" w:sz="0" w:space="0" w:color="auto"/>
                                  </w:divBdr>
                                  <w:divsChild>
                                    <w:div w:id="1080176677">
                                      <w:marLeft w:val="0"/>
                                      <w:marRight w:val="0"/>
                                      <w:marTop w:val="0"/>
                                      <w:marBottom w:val="0"/>
                                      <w:divBdr>
                                        <w:top w:val="none" w:sz="0" w:space="0" w:color="auto"/>
                                        <w:left w:val="none" w:sz="0" w:space="0" w:color="auto"/>
                                        <w:bottom w:val="none" w:sz="0" w:space="0" w:color="auto"/>
                                        <w:right w:val="none" w:sz="0" w:space="0" w:color="auto"/>
                                      </w:divBdr>
                                      <w:divsChild>
                                        <w:div w:id="807671521">
                                          <w:marLeft w:val="0"/>
                                          <w:marRight w:val="0"/>
                                          <w:marTop w:val="0"/>
                                          <w:marBottom w:val="0"/>
                                          <w:divBdr>
                                            <w:top w:val="none" w:sz="0" w:space="0" w:color="auto"/>
                                            <w:left w:val="none" w:sz="0" w:space="0" w:color="auto"/>
                                            <w:bottom w:val="none" w:sz="0" w:space="0" w:color="auto"/>
                                            <w:right w:val="none" w:sz="0" w:space="0" w:color="auto"/>
                                          </w:divBdr>
                                          <w:divsChild>
                                            <w:div w:id="752899680">
                                              <w:marLeft w:val="0"/>
                                              <w:marRight w:val="0"/>
                                              <w:marTop w:val="0"/>
                                              <w:marBottom w:val="0"/>
                                              <w:divBdr>
                                                <w:top w:val="none" w:sz="0" w:space="0" w:color="auto"/>
                                                <w:left w:val="none" w:sz="0" w:space="0" w:color="auto"/>
                                                <w:bottom w:val="none" w:sz="0" w:space="0" w:color="auto"/>
                                                <w:right w:val="none" w:sz="0" w:space="0" w:color="auto"/>
                                              </w:divBdr>
                                              <w:divsChild>
                                                <w:div w:id="1243491315">
                                                  <w:marLeft w:val="0"/>
                                                  <w:marRight w:val="0"/>
                                                  <w:marTop w:val="0"/>
                                                  <w:marBottom w:val="0"/>
                                                  <w:divBdr>
                                                    <w:top w:val="none" w:sz="0" w:space="0" w:color="auto"/>
                                                    <w:left w:val="none" w:sz="0" w:space="0" w:color="auto"/>
                                                    <w:bottom w:val="none" w:sz="0" w:space="0" w:color="auto"/>
                                                    <w:right w:val="none" w:sz="0" w:space="0" w:color="auto"/>
                                                  </w:divBdr>
                                                  <w:divsChild>
                                                    <w:div w:id="1404327420">
                                                      <w:marLeft w:val="0"/>
                                                      <w:marRight w:val="0"/>
                                                      <w:marTop w:val="0"/>
                                                      <w:marBottom w:val="0"/>
                                                      <w:divBdr>
                                                        <w:top w:val="none" w:sz="0" w:space="0" w:color="auto"/>
                                                        <w:left w:val="none" w:sz="0" w:space="0" w:color="auto"/>
                                                        <w:bottom w:val="none" w:sz="0" w:space="0" w:color="auto"/>
                                                        <w:right w:val="none" w:sz="0" w:space="0" w:color="auto"/>
                                                      </w:divBdr>
                                                      <w:divsChild>
                                                        <w:div w:id="144107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vaww.national.cmop.va.gov/PBM/Directives%20Policies%20and%20Information%20Letters/Guidance%20on%20Off%20Label%20Prescribing.pdf"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www.picato.com/_pdf/PrescribingInformation.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bm.va.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bm.v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pbhGoodmF\AppData\Roaming\Microsoft\Templates\NMEM%20w%20Confid%20Costs%20(2012%20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220ED0BA549147B67B93624EC38BE2" ma:contentTypeVersion="1" ma:contentTypeDescription="Create a new document." ma:contentTypeScope="" ma:versionID="b11ac1f38211a3099184790f2c9a42aa">
  <xsd:schema xmlns:xsd="http://www.w3.org/2001/XMLSchema" xmlns:xs="http://www.w3.org/2001/XMLSchema" xmlns:p="http://schemas.microsoft.com/office/2006/metadata/properties" xmlns:ns1="http://schemas.microsoft.com/sharepoint/v3" targetNamespace="http://schemas.microsoft.com/office/2006/metadata/properties" ma:root="true" ma:fieldsID="341e375015c50f2ed44184d8d0dcf8ad" ns1:_="">
    <xsd:import namespace="http://schemas.microsoft.com/sharepoint/v3"/>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8" nillable="true" ma:displayName="Approver Comments" ma:hidden="true" ma:internalName="_ModerationComments" ma:readOnly="true">
      <xsd:simpleType>
        <xsd:restriction base="dms:Note"/>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_SourceUrl" ma:index="11" nillable="true" ma:displayName="Source Url" ma:hidden="true" ma:internalName="_SourceUrl">
      <xsd:simpleType>
        <xsd:restriction base="dms:Text"/>
      </xsd:simpleType>
    </xsd:element>
    <xsd:element name="_SharedFileIndex" ma:index="12" nillable="true" ma:displayName="Shared File Index" ma:hidden="true" ma:internalName="_SharedFileIndex">
      <xsd:simpleType>
        <xsd:restriction base="dms:Text"/>
      </xsd:simpleType>
    </xsd:element>
    <xsd:element name="ContentTypeId" ma:index="13" nillable="true" ma:displayName="Content Type ID" ma:hidden="true" ma:internalName="ContentTypeId" ma:readOnly="true">
      <xsd:simpleType>
        <xsd:restriction base="dms:Unknown"/>
      </xsd:simpleType>
    </xsd:element>
    <xsd:element name="TemplateUrl" ma:index="14" nillable="true" ma:displayName="Template Link" ma:hidden="true" ma:internalName="TemplateUrl">
      <xsd:simpleType>
        <xsd:restriction base="dms:Text"/>
      </xsd:simpleType>
    </xsd:element>
    <xsd:element name="xd_ProgID" ma:index="15" nillable="true" ma:displayName="Html File Link" ma:hidden="true" ma:internalName="xd_ProgID">
      <xsd:simpleType>
        <xsd:restriction base="dms:Text"/>
      </xsd:simpleType>
    </xsd:element>
    <xsd:element name="xd_Signature" ma:index="16" nillable="true" ma:displayName="Is Signed" ma:hidden="true" ma:internalName="xd_Signature" ma:readOnly="true">
      <xsd:simpleType>
        <xsd:restriction base="dms:Boolean"/>
      </xsd:simpleType>
    </xsd:element>
    <xsd:element name="ID" ma:index="17" nillable="true" ma:displayName="ID" ma:internalName="ID" ma:readOnly="true">
      <xsd:simpleType>
        <xsd:restriction base="dms:Unknown"/>
      </xsd:simpleType>
    </xsd:element>
    <xsd:element name="Author" ma:index="18"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9"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0" nillable="true" ma:displayName="Has Copy Destinations" ma:hidden="true" ma:internalName="_HasCopyDestinations" ma:readOnly="false">
      <xsd:simpleType>
        <xsd:restriction base="dms:Boolean"/>
      </xsd:simpleType>
    </xsd:element>
    <xsd:element name="_CopySource" ma:index="21" nillable="true" ma:displayName="Copy Source" ma:internalName="_CopySource" ma:readOnly="true">
      <xsd:simpleType>
        <xsd:restriction base="dms:Text"/>
      </xsd:simpleType>
    </xsd:element>
    <xsd:element name="_ModerationStatus" ma:index="22" nillable="true" ma:displayName="Approval Status" ma:default="0" ma:hidden="true" ma:internalName="_ModerationStatus" ma:readOnly="true">
      <xsd:simpleType>
        <xsd:restriction base="dms:Unknown"/>
      </xsd:simpleType>
    </xsd:element>
    <xsd:element name="FileRef" ma:index="23" nillable="true" ma:displayName="URL Path" ma:hidden="true" ma:list="Docs" ma:internalName="FileRef" ma:readOnly="true" ma:showField="FullUrl">
      <xsd:simpleType>
        <xsd:restriction base="dms:Lookup"/>
      </xsd:simpleType>
    </xsd:element>
    <xsd:element name="FileDirRef" ma:index="24" nillable="true" ma:displayName="Path" ma:hidden="true" ma:list="Docs" ma:internalName="FileDirRef" ma:readOnly="true" ma:showField="DirName">
      <xsd:simpleType>
        <xsd:restriction base="dms:Lookup"/>
      </xsd:simpleType>
    </xsd:element>
    <xsd:element name="Last_x0020_Modified" ma:index="25" nillable="true" ma:displayName="Modified" ma:format="TRUE" ma:hidden="true" ma:list="Docs" ma:internalName="Last_x0020_Modified" ma:readOnly="true" ma:showField="TimeLastModified">
      <xsd:simpleType>
        <xsd:restriction base="dms:Lookup"/>
      </xsd:simpleType>
    </xsd:element>
    <xsd:element name="Created_x0020_Date" ma:index="26" nillable="true" ma:displayName="Created" ma:format="TRUE" ma:hidden="true" ma:list="Docs" ma:internalName="Created_x0020_Date" ma:readOnly="false" ma:showField="TimeCreated">
      <xsd:simpleType>
        <xsd:restriction base="dms:Lookup"/>
      </xsd:simpleType>
    </xsd:element>
    <xsd:element name="File_x0020_Size" ma:index="27" nillable="true" ma:displayName="File Size" ma:format="TRUE" ma:hidden="true" ma:list="Docs" ma:internalName="File_x0020_Size" ma:readOnly="true" ma:showField="SizeInKB">
      <xsd:simpleType>
        <xsd:restriction base="dms:Lookup"/>
      </xsd:simpleType>
    </xsd:element>
    <xsd:element name="FSObjType" ma:index="28" nillable="true" ma:displayName="Item Type" ma:hidden="true" ma:list="Docs" ma:internalName="FSObjType" ma:readOnly="true" ma:showField="FSType">
      <xsd:simpleType>
        <xsd:restriction base="dms:Lookup"/>
      </xsd:simpleType>
    </xsd:element>
    <xsd:element name="CheckedOutUserId" ma:index="30" nillable="true" ma:displayName="ID of the User who has the item Checked Out" ma:hidden="true" ma:list="Docs" ma:internalName="CheckedOutUserId" ma:readOnly="true" ma:showField="CheckoutUserId">
      <xsd:simpleType>
        <xsd:restriction base="dms:Lookup"/>
      </xsd:simpleType>
    </xsd:element>
    <xsd:element name="IsCheckedoutToLocal" ma:index="31" nillable="true" ma:displayName="Is Checked out to local" ma:hidden="true" ma:list="Docs" ma:internalName="IsCheckedoutToLocal" ma:readOnly="true" ma:showField="IsCheckoutToLocal">
      <xsd:simpleType>
        <xsd:restriction base="dms:Lookup"/>
      </xsd:simpleType>
    </xsd:element>
    <xsd:element name="CheckoutUser" ma:index="32" nillable="true" ma:displayName="Checked Out To" ma:hidden="true"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3" nillable="true" ma:displayName="Unique Id" ma:hidden="true" ma:list="Docs" ma:internalName="UniqueId" ma:readOnly="true" ma:showField="UniqueId">
      <xsd:simpleType>
        <xsd:restriction base="dms:Lookup"/>
      </xsd:simpleType>
    </xsd:element>
    <xsd:element name="ProgId" ma:index="34" nillable="true" ma:displayName="ProgId" ma:hidden="true" ma:list="Docs" ma:internalName="ProgId" ma:readOnly="true" ma:showField="ProgId">
      <xsd:simpleType>
        <xsd:restriction base="dms:Lookup"/>
      </xsd:simpleType>
    </xsd:element>
    <xsd:element name="ScopeId" ma:index="35" nillable="true" ma:displayName="ScopeId" ma:hidden="true" ma:list="Docs" ma:internalName="ScopeId" ma:readOnly="true" ma:showField="ScopeId">
      <xsd:simpleType>
        <xsd:restriction base="dms:Lookup"/>
      </xsd:simpleType>
    </xsd:element>
    <xsd:element name="VirusStatus" ma:index="36" nillable="true" ma:displayName="Virus Status" ma:format="TRUE" ma:hidden="true" ma:list="Docs" ma:internalName="VirusStatus" ma:readOnly="true" ma:showField="Size">
      <xsd:simpleType>
        <xsd:restriction base="dms:Lookup"/>
      </xsd:simpleType>
    </xsd:element>
    <xsd:element name="CheckedOutTitle" ma:index="37" nillable="true" ma:displayName="Checked Out To" ma:format="TRUE" ma:hidden="true" ma:list="Docs" ma:internalName="CheckedOutTitle" ma:readOnly="true" ma:showField="CheckedOutTitle">
      <xsd:simpleType>
        <xsd:restriction base="dms:Lookup"/>
      </xsd:simpleType>
    </xsd:element>
    <xsd:element name="_CheckinComment" ma:index="38" nillable="true" ma:displayName="Check In Comment" ma:format="TRUE" ma:list="Docs" ma:internalName="_CheckinComment" ma:readOnly="true" ma:showField="CheckinComment">
      <xsd:simpleType>
        <xsd:restriction base="dms:Lookup"/>
      </xsd:simpleType>
    </xsd:element>
    <xsd:element name="MetaInfo" ma:index="49" nillable="true" ma:displayName="Property Bag" ma:hidden="true" ma:list="Docs" ma:internalName="MetaInfo" ma:showField="MetaInfo">
      <xsd:simpleType>
        <xsd:restriction base="dms:Lookup"/>
      </xsd:simpleType>
    </xsd:element>
    <xsd:element name="_Level" ma:index="50" nillable="true" ma:displayName="Level" ma:hidden="true" ma:internalName="_Level" ma:readOnly="true">
      <xsd:simpleType>
        <xsd:restriction base="dms:Unknown"/>
      </xsd:simpleType>
    </xsd:element>
    <xsd:element name="_IsCurrentVersion" ma:index="51" nillable="true" ma:displayName="Is Current Version" ma:hidden="true" ma:internalName="_IsCurrentVersion" ma:readOnly="true">
      <xsd:simpleType>
        <xsd:restriction base="dms:Boolean"/>
      </xsd:simpleType>
    </xsd:element>
    <xsd:element name="owshiddenversion" ma:index="54" nillable="true" ma:displayName="owshiddenversion" ma:hidden="true" ma:internalName="owshiddenversion" ma:readOnly="true">
      <xsd:simpleType>
        <xsd:restriction base="dms:Unknown"/>
      </xsd:simpleType>
    </xsd:element>
    <xsd:element name="_UIVersion" ma:index="55" nillable="true" ma:displayName="UI Version" ma:hidden="true" ma:internalName="_UIVersion" ma:readOnly="true">
      <xsd:simpleType>
        <xsd:restriction base="dms:Unknown"/>
      </xsd:simpleType>
    </xsd:element>
    <xsd:element name="_UIVersionString" ma:index="56" nillable="true" ma:displayName="Version" ma:internalName="_UIVersionString" ma:readOnly="true">
      <xsd:simpleType>
        <xsd:restriction base="dms:Text"/>
      </xsd:simpleType>
    </xsd:element>
    <xsd:element name="InstanceID" ma:index="57" nillable="true" ma:displayName="Instance ID" ma:hidden="true" ma:internalName="InstanceID" ma:readOnly="true">
      <xsd:simpleType>
        <xsd:restriction base="dms:Unknown"/>
      </xsd:simpleType>
    </xsd:element>
    <xsd:element name="Order" ma:index="58" nillable="true" ma:displayName="Order" ma:hidden="true" ma:internalName="Order">
      <xsd:simpleType>
        <xsd:restriction base="dms:Number"/>
      </xsd:simpleType>
    </xsd:element>
    <xsd:element name="GUID" ma:index="59" nillable="true" ma:displayName="GUID" ma:hidden="true" ma:internalName="GUID" ma:readOnly="true">
      <xsd:simpleType>
        <xsd:restriction base="dms:Unknown"/>
      </xsd:simpleType>
    </xsd:element>
    <xsd:element name="WorkflowVersion" ma:index="60" nillable="true" ma:displayName="Workflow Version" ma:hidden="true" ma:internalName="WorkflowVersion" ma:readOnly="true">
      <xsd:simpleType>
        <xsd:restriction base="dms:Unknown"/>
      </xsd:simpleType>
    </xsd:element>
    <xsd:element name="WorkflowInstanceID" ma:index="61" nillable="true" ma:displayName="Workflow Instance ID" ma:hidden="true" ma:internalName="WorkflowInstanceID" ma:readOnly="true">
      <xsd:simpleType>
        <xsd:restriction base="dms:Unknown"/>
      </xsd:simpleType>
    </xsd:element>
    <xsd:element name="ParentVersionString" ma:index="62" nillable="true" ma:displayName="Source Version (Converted Document)" ma:hidden="true" ma:list="Docs" ma:internalName="ParentVersionString" ma:readOnly="true" ma:showField="ParentVersionString">
      <xsd:simpleType>
        <xsd:restriction base="dms:Lookup"/>
      </xsd:simpleType>
    </xsd:element>
    <xsd:element name="ParentLeafName" ma:index="63" nillable="true" ma:displayName="Source Name (Converted Document)" ma:hidden="true" ma:list="Docs" ma:internalName="ParentLeafName" ma:readOnly="true" ma:showField="ParentLeafNam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0x0101007D220ED0BA549147B67B93624EC38BE2</ContentTypeId>
    <TemplateUrl xmlns="http://schemas.microsoft.com/sharepoint/v3" xsi:nil="true"/>
    <_SourceUrl xmlns="http://schemas.microsoft.com/sharepoint/v3" xsi:nil="true"/>
    <Created_x0020_Date xmlns="http://schemas.microsoft.com/sharepoint/v3" xsi:nil="true"/>
    <_HasCopyDestinations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Props1.xml><?xml version="1.0" encoding="utf-8"?>
<ds:datastoreItem xmlns:ds="http://schemas.openxmlformats.org/officeDocument/2006/customXml" ds:itemID="{1BEC78AD-93E0-4D81-997B-14A500A007FD}"/>
</file>

<file path=customXml/itemProps2.xml><?xml version="1.0" encoding="utf-8"?>
<ds:datastoreItem xmlns:ds="http://schemas.openxmlformats.org/officeDocument/2006/customXml" ds:itemID="{BDD31DAC-CAA6-4AAD-B1D8-9EACD3100688}"/>
</file>

<file path=customXml/itemProps3.xml><?xml version="1.0" encoding="utf-8"?>
<ds:datastoreItem xmlns:ds="http://schemas.openxmlformats.org/officeDocument/2006/customXml" ds:itemID="{08B9C776-1AE4-4E2D-A0D2-C787461FB5F7}"/>
</file>

<file path=customXml/itemProps4.xml><?xml version="1.0" encoding="utf-8"?>
<ds:datastoreItem xmlns:ds="http://schemas.openxmlformats.org/officeDocument/2006/customXml" ds:itemID="{E4B4CFF7-A803-4C26-AC9F-411454D1D4FD}"/>
</file>

<file path=docProps/app.xml><?xml version="1.0" encoding="utf-8"?>
<Properties xmlns="http://schemas.openxmlformats.org/officeDocument/2006/extended-properties" xmlns:vt="http://schemas.openxmlformats.org/officeDocument/2006/docPropsVTypes">
  <Template>NMEM w Confid Costs (2012 04)</Template>
  <TotalTime>8</TotalTime>
  <Pages>16</Pages>
  <Words>6290</Words>
  <Characters>35876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VHA PBM SHG</Company>
  <LinksUpToDate>false</LinksUpToDate>
  <CharactersWithSpaces>42082</CharactersWithSpaces>
  <SharedDoc>false</SharedDoc>
  <HLinks>
    <vt:vector size="36" baseType="variant">
      <vt:variant>
        <vt:i4>1245274</vt:i4>
      </vt:variant>
      <vt:variant>
        <vt:i4>18</vt:i4>
      </vt:variant>
      <vt:variant>
        <vt:i4>0</vt:i4>
      </vt:variant>
      <vt:variant>
        <vt:i4>5</vt:i4>
      </vt:variant>
      <vt:variant>
        <vt:lpwstr>http://www.jointcommission.org/SentinelEvents/SentinelEventAlert/</vt:lpwstr>
      </vt:variant>
      <vt:variant>
        <vt:lpwstr/>
      </vt:variant>
      <vt:variant>
        <vt:i4>3801213</vt:i4>
      </vt:variant>
      <vt:variant>
        <vt:i4>3</vt:i4>
      </vt:variant>
      <vt:variant>
        <vt:i4>0</vt:i4>
      </vt:variant>
      <vt:variant>
        <vt:i4>5</vt:i4>
      </vt:variant>
      <vt:variant>
        <vt:lpwstr>http://vaww.national.cmop.va.gov/PBM/Directives Policies and Information Letters/Guidance on Off Label Prescribing.pdf</vt:lpwstr>
      </vt:variant>
      <vt:variant>
        <vt:lpwstr/>
      </vt:variant>
      <vt:variant>
        <vt:i4>3670069</vt:i4>
      </vt:variant>
      <vt:variant>
        <vt:i4>0</vt:i4>
      </vt:variant>
      <vt:variant>
        <vt:i4>0</vt:i4>
      </vt:variant>
      <vt:variant>
        <vt:i4>5</vt:i4>
      </vt:variant>
      <vt:variant>
        <vt:lpwstr>http://vaww.pbm.va.gov/</vt:lpwstr>
      </vt:variant>
      <vt:variant>
        <vt:lpwstr/>
      </vt:variant>
      <vt:variant>
        <vt:i4>3014764</vt:i4>
      </vt:variant>
      <vt:variant>
        <vt:i4>12</vt:i4>
      </vt:variant>
      <vt:variant>
        <vt:i4>0</vt:i4>
      </vt:variant>
      <vt:variant>
        <vt:i4>5</vt:i4>
      </vt:variant>
      <vt:variant>
        <vt:lpwstr>http://www.pbm.va.gov/</vt:lpwstr>
      </vt:variant>
      <vt:variant>
        <vt:lpwstr/>
      </vt:variant>
      <vt:variant>
        <vt:i4>3014764</vt:i4>
      </vt:variant>
      <vt:variant>
        <vt:i4>6</vt:i4>
      </vt:variant>
      <vt:variant>
        <vt:i4>0</vt:i4>
      </vt:variant>
      <vt:variant>
        <vt:i4>5</vt:i4>
      </vt:variant>
      <vt:variant>
        <vt:lpwstr>http://www.pbm.va.gov/</vt:lpwstr>
      </vt:variant>
      <vt:variant>
        <vt:lpwstr/>
      </vt:variant>
      <vt:variant>
        <vt:i4>3014764</vt:i4>
      </vt:variant>
      <vt:variant>
        <vt:i4>0</vt:i4>
      </vt:variant>
      <vt:variant>
        <vt:i4>0</vt:i4>
      </vt:variant>
      <vt:variant>
        <vt:i4>5</vt:i4>
      </vt:variant>
      <vt:variant>
        <vt:lpwstr>http://www.pbm.va.gov/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Goodman, Francine</dc:creator>
  <cp:lastModifiedBy>Goodman, Francine</cp:lastModifiedBy>
  <cp:revision>3</cp:revision>
  <dcterms:created xsi:type="dcterms:W3CDTF">2014-04-17T13:16:00Z</dcterms:created>
  <dcterms:modified xsi:type="dcterms:W3CDTF">2014-04-17T13:22:00Z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248334671</vt:i4>
  </property>
  <property fmtid="{D5CDD505-2E9C-101B-9397-08002B2CF9AE}" pid="3" name="_NewReviewCycle">
    <vt:lpwstr/>
  </property>
  <property fmtid="{D5CDD505-2E9C-101B-9397-08002B2CF9AE}" pid="4" name="_EmailSubject">
    <vt:lpwstr>Please Post:  Revised National Drug Monograph TEMPLATE</vt:lpwstr>
  </property>
  <property fmtid="{D5CDD505-2E9C-101B-9397-08002B2CF9AE}" pid="5" name="_AuthorEmail">
    <vt:lpwstr>Francine.Goodman@va.gov</vt:lpwstr>
  </property>
  <property fmtid="{D5CDD505-2E9C-101B-9397-08002B2CF9AE}" pid="6" name="_AuthorEmailDisplayName">
    <vt:lpwstr>Goodman, Francine</vt:lpwstr>
  </property>
  <property fmtid="{D5CDD505-2E9C-101B-9397-08002B2CF9AE}" pid="7" name="_ReviewingToolsShownOnce">
    <vt:lpwstr/>
  </property>
</Properties>
</file>